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08" w:rsidRDefault="00E13308">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E13308" w:rsidRDefault="00E13308">
      <w:pPr>
        <w:widowControl w:val="0"/>
        <w:autoSpaceDE w:val="0"/>
        <w:autoSpaceDN w:val="0"/>
        <w:adjustRightInd w:val="0"/>
        <w:spacing w:after="0" w:line="240" w:lineRule="auto"/>
        <w:ind w:firstLine="540"/>
        <w:jc w:val="both"/>
        <w:outlineLvl w:val="0"/>
        <w:rPr>
          <w:rFonts w:ascii="Calibri" w:hAnsi="Calibri" w:cs="Calibri"/>
        </w:rPr>
      </w:pPr>
    </w:p>
    <w:p w:rsidR="00E13308" w:rsidRDefault="00E13308">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ФИНАНСОВ РОССИЙСКОЙ ФЕДЕРАЦИИ</w:t>
      </w:r>
    </w:p>
    <w:p w:rsidR="00E13308" w:rsidRDefault="00E13308">
      <w:pPr>
        <w:widowControl w:val="0"/>
        <w:autoSpaceDE w:val="0"/>
        <w:autoSpaceDN w:val="0"/>
        <w:adjustRightInd w:val="0"/>
        <w:spacing w:after="0" w:line="240" w:lineRule="auto"/>
        <w:jc w:val="center"/>
        <w:rPr>
          <w:rFonts w:ascii="Calibri" w:hAnsi="Calibri" w:cs="Calibri"/>
          <w:b/>
          <w:bCs/>
        </w:rPr>
      </w:pPr>
    </w:p>
    <w:p w:rsidR="00E13308" w:rsidRDefault="00E1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E13308" w:rsidRDefault="00E1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сентября 2014 г. N 09-05-05/48843</w:t>
      </w:r>
    </w:p>
    <w:p w:rsidR="00E13308" w:rsidRDefault="00E13308">
      <w:pPr>
        <w:widowControl w:val="0"/>
        <w:autoSpaceDE w:val="0"/>
        <w:autoSpaceDN w:val="0"/>
        <w:adjustRightInd w:val="0"/>
        <w:spacing w:after="0" w:line="240" w:lineRule="auto"/>
        <w:jc w:val="center"/>
        <w:rPr>
          <w:rFonts w:ascii="Calibri" w:hAnsi="Calibri" w:cs="Calibri"/>
        </w:rPr>
      </w:pP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1.2.3 Детального плана-графика реализации государственной программы Российской Федерации "Управление государственными финансами и регулирование финансовых рынков", утвержденного </w:t>
      </w:r>
      <w:hyperlink r:id="rId4"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18 июля 2014 г. N 219, направляются для использования в работе и доведения до сведения органов местного самоуправления Методические </w:t>
      </w:r>
      <w:hyperlink w:anchor="Par15" w:history="1">
        <w:r>
          <w:rPr>
            <w:rFonts w:ascii="Calibri" w:hAnsi="Calibri" w:cs="Calibri"/>
            <w:color w:val="0000FF"/>
          </w:rPr>
          <w:t>рекомендации</w:t>
        </w:r>
      </w:hyperlink>
      <w:r>
        <w:rPr>
          <w:rFonts w:ascii="Calibri" w:hAnsi="Calibri" w:cs="Calibri"/>
        </w:rPr>
        <w:t xml:space="preserve"> по составлению и исполнению бюджетов субъектов Российской Федерации и местных бюджетов на основе государственных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E13308" w:rsidRDefault="00E13308">
      <w:pPr>
        <w:widowControl w:val="0"/>
        <w:autoSpaceDE w:val="0"/>
        <w:autoSpaceDN w:val="0"/>
        <w:adjustRightInd w:val="0"/>
        <w:spacing w:after="0" w:line="240" w:lineRule="auto"/>
        <w:jc w:val="right"/>
        <w:rPr>
          <w:rFonts w:ascii="Calibri" w:hAnsi="Calibri" w:cs="Calibri"/>
        </w:rPr>
      </w:pPr>
      <w:r>
        <w:rPr>
          <w:rFonts w:ascii="Calibri" w:hAnsi="Calibri" w:cs="Calibri"/>
        </w:rPr>
        <w:t>А.М.ЛАВРОВ</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jc w:val="center"/>
        <w:outlineLvl w:val="0"/>
        <w:rPr>
          <w:rFonts w:ascii="Calibri" w:hAnsi="Calibri" w:cs="Calibri"/>
          <w:b/>
          <w:bCs/>
        </w:rPr>
      </w:pPr>
      <w:bookmarkStart w:id="2" w:name="Par15"/>
      <w:bookmarkEnd w:id="2"/>
      <w:r>
        <w:rPr>
          <w:rFonts w:ascii="Calibri" w:hAnsi="Calibri" w:cs="Calibri"/>
          <w:b/>
          <w:bCs/>
        </w:rPr>
        <w:t>МЕТОДИЧЕСКИЕ РЕКОМЕНДАЦИИ</w:t>
      </w:r>
    </w:p>
    <w:p w:rsidR="00E13308" w:rsidRDefault="00E1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СОСТАВЛЕНИЮ И ИСПОЛНЕНИЮ БЮДЖЕТОВ СУБЪЕКТОВ</w:t>
      </w:r>
    </w:p>
    <w:p w:rsidR="00E13308" w:rsidRDefault="00E1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МЕСТНЫХ БЮДЖЕТОВ НА ОСНОВЕ</w:t>
      </w:r>
    </w:p>
    <w:p w:rsidR="00E13308" w:rsidRDefault="00E1330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подготовлены с целью методологического обеспечения перехода к составлению и исполнению бюджетов субъектов Российской Федерации и местных бюджетов на основе государственных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jc w:val="center"/>
        <w:outlineLvl w:val="1"/>
        <w:rPr>
          <w:rFonts w:ascii="Calibri" w:hAnsi="Calibri" w:cs="Calibri"/>
        </w:rPr>
      </w:pPr>
      <w:bookmarkStart w:id="3" w:name="Par22"/>
      <w:bookmarkEnd w:id="3"/>
      <w:r>
        <w:rPr>
          <w:rFonts w:ascii="Calibri" w:hAnsi="Calibri" w:cs="Calibri"/>
        </w:rPr>
        <w:t>I. Общие положения</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настоящих Методических рекомендаций используются следующие основные понятия:</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программа субъекта Российской Федерации (далее также - 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государственной программы - орган государственной власти субъекта Российской Федерации, определенный ответственным исполнителем государственной программы и являющийся ответственным за разработку и реализацию государственной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муниципальной программы - орган местного самоуправления муниципального образования, определенный ответственным исполнителем муниципальной программы и являющийся ответственным за разработку и реализацию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параметры государственной (муниципальной) программы - цели, задачи, основные мероприятия, конечные результаты реализации государственной (муниципальной) программы, </w:t>
      </w:r>
      <w:r>
        <w:rPr>
          <w:rFonts w:ascii="Calibri" w:hAnsi="Calibri" w:cs="Calibri"/>
        </w:rPr>
        <w:lastRenderedPageBreak/>
        <w:t>непосредственные результаты реализации основных мероприятий, сроки их достижения, объем ресурсов.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5" w:history="1">
        <w:r>
          <w:rPr>
            <w:rFonts w:ascii="Calibri" w:hAnsi="Calibri" w:cs="Calibri"/>
            <w:color w:val="0000FF"/>
          </w:rPr>
          <w:t>законом</w:t>
        </w:r>
      </w:hyperlink>
      <w:r>
        <w:rPr>
          <w:rFonts w:ascii="Calibri" w:hAnsi="Calibri" w:cs="Calibri"/>
        </w:rPr>
        <w:t xml:space="preserve">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установлены правовые основания для разработки государственных и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r:id="rId6" w:history="1">
        <w:r>
          <w:rPr>
            <w:rFonts w:ascii="Calibri" w:hAnsi="Calibri" w:cs="Calibri"/>
            <w:color w:val="0000FF"/>
          </w:rPr>
          <w:t>статьи 179</w:t>
        </w:r>
      </w:hyperlink>
      <w:r>
        <w:rPr>
          <w:rFonts w:ascii="Calibri" w:hAnsi="Calibri" w:cs="Calibri"/>
        </w:rPr>
        <w:t xml:space="preserve"> Бюджетного кодекса Российской Федерации (далее - Бюджетный кодекс) применяются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 Вопросы определения порядка формирования и реализации государственных программ субъектов Российской Федерации (муниципальных программ), сроки их реализации отнесены к компетенции высшего исполнительного органа государственной власти субъекта Российской Федерации (местной администрации муниципального образования).</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(местная администрация муниципального образования) самостоятельно принимает решение о системе и составе участвующих в разработке и реализации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7" w:history="1">
        <w:r>
          <w:rPr>
            <w:rFonts w:ascii="Calibri" w:hAnsi="Calibri" w:cs="Calibri"/>
            <w:color w:val="0000FF"/>
          </w:rPr>
          <w:t>законом</w:t>
        </w:r>
      </w:hyperlink>
      <w:r>
        <w:rPr>
          <w:rFonts w:ascii="Calibri" w:hAnsi="Calibri" w:cs="Calibri"/>
        </w:rPr>
        <w:t xml:space="preserve"> от 28 июня 2014 г. N 172-ФЗ "О стратегическом планировании в Российской Федерации" установлено, что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высшим исполнительным органом государственной власти субъекта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программы рекомендуется разрабатывать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с учетом положений программных документов, иных правовых актов Российской Федерации, субъекта Российской Федерации в соответствующей сфере деятельности.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государственных программ субъекта Российской Федерации утверждается высшим исполнительным органом государственной власти субъекта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муниципальном уровне рекомендуется разработку муниципальных программ осуществлять на основании перечня муниципальных программ, утверждаемого местной администрацией муниципального образования.</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8" w:history="1">
        <w:r>
          <w:rPr>
            <w:rFonts w:ascii="Calibri" w:hAnsi="Calibri" w:cs="Calibri"/>
            <w:color w:val="0000FF"/>
          </w:rPr>
          <w:t>законом</w:t>
        </w:r>
      </w:hyperlink>
      <w:r>
        <w:rPr>
          <w:rFonts w:ascii="Calibri" w:hAnsi="Calibri" w:cs="Calibri"/>
        </w:rPr>
        <w:t xml:space="preserve"> от 28 июня 2014 г. N 183-ФЗ "О внесении изменений в статьи 179 и 184.1 Бюджетного кодекса Российской Федерации" устанавливается обязательность перехода на программный принцип составления бюджетов субъектов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составления бюджетов муниципальных образований на основе муниципальных программ отнесен к полномочиям субъекта Российской Федерации. Положения новых пунктов </w:t>
      </w:r>
      <w:hyperlink r:id="rId9" w:history="1">
        <w:r>
          <w:rPr>
            <w:rFonts w:ascii="Calibri" w:hAnsi="Calibri" w:cs="Calibri"/>
            <w:color w:val="0000FF"/>
          </w:rPr>
          <w:t>статьи 184.1</w:t>
        </w:r>
      </w:hyperlink>
      <w:r>
        <w:rPr>
          <w:rFonts w:ascii="Calibri" w:hAnsi="Calibri" w:cs="Calibri"/>
        </w:rPr>
        <w:t xml:space="preserve"> Бюджетного кодекса применяются к правоотношениям, возникающим при составлении и исполнении бюджетов субъектов Российской Федерации и бюджетов муниципальных образований, начиная с бюджетов на 2016 год и на плановый период 2017 и 2018 годов.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обязательность перехода на составление местных бюджетов на основе муниципальных программ устанавливается только при условии составления и утверждения местного бюджета сроком на три года (очередной финансовый год и плановый период).</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Согласно </w:t>
      </w:r>
      <w:hyperlink r:id="rId10" w:history="1">
        <w:r>
          <w:rPr>
            <w:rFonts w:ascii="Calibri" w:hAnsi="Calibri" w:cs="Calibri"/>
            <w:color w:val="0000FF"/>
          </w:rPr>
          <w:t>статье 21</w:t>
        </w:r>
      </w:hyperlink>
      <w:r>
        <w:rPr>
          <w:rFonts w:ascii="Calibri" w:hAnsi="Calibri" w:cs="Calibri"/>
        </w:rPr>
        <w:t xml:space="preserve"> Бюджетного кодекса 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w:t>
      </w:r>
      <w:r>
        <w:rPr>
          <w:rFonts w:ascii="Calibri" w:hAnsi="Calibri" w:cs="Calibri"/>
        </w:rPr>
        <w:lastRenderedPageBreak/>
        <w:t>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(непрограммные направления деятельности), и (или) расходными обязательствами, подлежащими исполнению за счет средств соответствующих бюджетов.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11" w:history="1">
        <w:r>
          <w:rPr>
            <w:rFonts w:ascii="Calibri" w:hAnsi="Calibri" w:cs="Calibri"/>
            <w:color w:val="0000FF"/>
          </w:rPr>
          <w:t>Приказа</w:t>
        </w:r>
      </w:hyperlink>
      <w:r>
        <w:rPr>
          <w:rFonts w:ascii="Calibri" w:hAnsi="Calibri" w:cs="Calibri"/>
        </w:rPr>
        <w:t xml:space="preserve"> Минфина России от 1 июля 2013 г. N 65н "Об утверждении Указаний о порядке применения бюджетной классификации Российской Федерации" структура кода целевой статьи расходов соответствующего бюджета устанавливается финансовым органом соответствующего субъекта Российской Федерации (финансовым органом муниципального образования) с учетом обязательности сохранения кода направления расходов бюджета (4 - 7 разряды кода целевой статьи расходов).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со </w:t>
      </w:r>
      <w:hyperlink r:id="rId12" w:history="1">
        <w:r>
          <w:rPr>
            <w:rFonts w:ascii="Calibri" w:hAnsi="Calibri" w:cs="Calibri"/>
            <w:color w:val="0000FF"/>
          </w:rPr>
          <w:t>статьей 6</w:t>
        </w:r>
      </w:hyperlink>
      <w:r>
        <w:rPr>
          <w:rFonts w:ascii="Calibri" w:hAnsi="Calibri" w:cs="Calibri"/>
        </w:rPr>
        <w:t xml:space="preserve">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указанную норму, а также положения </w:t>
      </w:r>
      <w:hyperlink r:id="rId13" w:history="1">
        <w:r>
          <w:rPr>
            <w:rFonts w:ascii="Calibri" w:hAnsi="Calibri" w:cs="Calibri"/>
            <w:color w:val="0000FF"/>
          </w:rPr>
          <w:t>статей 84</w:t>
        </w:r>
      </w:hyperlink>
      <w:r>
        <w:rPr>
          <w:rFonts w:ascii="Calibri" w:hAnsi="Calibri" w:cs="Calibri"/>
        </w:rPr>
        <w:t xml:space="preserve">, </w:t>
      </w:r>
      <w:hyperlink r:id="rId14" w:history="1">
        <w:r>
          <w:rPr>
            <w:rFonts w:ascii="Calibri" w:hAnsi="Calibri" w:cs="Calibri"/>
            <w:color w:val="0000FF"/>
          </w:rPr>
          <w:t>85</w:t>
        </w:r>
      </w:hyperlink>
      <w:r>
        <w:rPr>
          <w:rFonts w:ascii="Calibri" w:hAnsi="Calibri" w:cs="Calibri"/>
        </w:rPr>
        <w:t xml:space="preserve">, </w:t>
      </w:r>
      <w:hyperlink r:id="rId15" w:history="1">
        <w:r>
          <w:rPr>
            <w:rFonts w:ascii="Calibri" w:hAnsi="Calibri" w:cs="Calibri"/>
            <w:color w:val="0000FF"/>
          </w:rPr>
          <w:t>86</w:t>
        </w:r>
      </w:hyperlink>
      <w:r>
        <w:rPr>
          <w:rFonts w:ascii="Calibri" w:hAnsi="Calibri" w:cs="Calibri"/>
        </w:rPr>
        <w:t xml:space="preserve">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объемов предоставляемых ресурсов либо порядка определения таких объемов.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программы сами по себе расходных обязательств не порождают, поскольку не соответствуют указанным требованиям, в том числе не устанавливают конкретных получателей средств из соответствующих бюджетов.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(муниципальные) программы являются документом планирования бюджетных ассигнований во взаимосвязи с ожидаемыми результатами их использования. В этой связи параметры ресурсного обеспечения государственных (муниципальных) программ, исходя из положений </w:t>
      </w:r>
      <w:hyperlink r:id="rId16" w:history="1">
        <w:r>
          <w:rPr>
            <w:rFonts w:ascii="Calibri" w:hAnsi="Calibri" w:cs="Calibri"/>
            <w:color w:val="0000FF"/>
          </w:rPr>
          <w:t>статьи 174.2</w:t>
        </w:r>
      </w:hyperlink>
      <w:r>
        <w:rPr>
          <w:rFonts w:ascii="Calibri" w:hAnsi="Calibri" w:cs="Calibri"/>
        </w:rPr>
        <w:t xml:space="preserve">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II. Структура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структуры государственной (муниципальной) программы рекомендуется учитывать структуру исполнительных органов государственной власти субъекта Российской Федерации (органов местного самоуправления муниципального образования) и организационно-правовые отношения между ними (полномочия, ответственность и порядок взаимодействия), а также практику применения программно-целевых инструментов.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государственной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государственной (муниципальной) программы, что позволит в дальнейшем провести оценку эффективности бюджетных расходов на реализацию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государственных (муниципальных) программ рекомендуется формулировать одну цель, которая должна соответствовать приоритетам и целям социально-экономического развития субъекта Российской Федерации (муниципального образования) в соответствующей сфере и определять конечные результаты реализации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Формулировка цели должна быть краткой и ясной, не предусматривающей специальных </w:t>
      </w:r>
      <w:r>
        <w:rPr>
          <w:rFonts w:ascii="Calibri" w:hAnsi="Calibri" w:cs="Calibri"/>
        </w:rPr>
        <w:lastRenderedPageBreak/>
        <w:t>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обеспечивается решением задач государственной (муниципальной) программы. Сформулированные задачи должны быть необходимы и достаточны для достижения соответствующей цели.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формирования в структуре государственной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 При этом реализация конкретной задачи государственной (муниципальной) программы осуществляется в рамках соответствующей подпрограммы.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мероприятий (основных мероприятий) должен быть необходимым и достаточным для достижения целей и решения задач подпрограммы с учетом реализации мер государственного и правового регулирования, предусмотренных в рамках подпрограммы. Задачи подпрограммы не должны дублировать задачи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(индикаторы) приводятся по государственной (муниципальной) программе и каждой подпрограмме государственной (муниципальной) программы (при их наличии).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показателей (индикаторов) следует выстраивать таким образом, чтобы к каждой задаче государственной (муниципальной) программы (подпрограммы - при наличии) был сформирован как минимум один индикатор, характеризующий ее решение.</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используемых показателей (индикаторов) целесообразно включать:</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показатели, содержащиеся в Указах Президента Российской Федерации от 7 мая 2012 г. N 596 - 606;</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показатели для оценки эффективности деятельности органов государственной власти субъектов Российской Федерации, определенные правовыми актами Российской Федерации и правовыми актами субъекта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Указ</w:t>
        </w:r>
      </w:hyperlink>
      <w:r>
        <w:rPr>
          <w:rFonts w:ascii="Calibri" w:hAnsi="Calibri" w:cs="Calibri"/>
        </w:rPr>
        <w:t xml:space="preserve">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Указ</w:t>
        </w:r>
      </w:hyperlink>
      <w:r>
        <w:rPr>
          <w:rFonts w:ascii="Calibri" w:hAnsi="Calibri" w:cs="Calibri"/>
        </w:rP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E13308" w:rsidRDefault="00E13308">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ноября 2012 г. N 1142 "О мерах по реализации Указа Президента Российской Федерации от 21 августа 2012 г. N 1199";</w:t>
      </w:r>
    </w:p>
    <w:p w:rsidR="00E13308" w:rsidRDefault="00E13308">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10 апреля 2014 г. N 570-р об утверждении перечня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w:t>
      </w:r>
    </w:p>
    <w:p w:rsidR="00E13308" w:rsidRDefault="00E13308">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3 декабря 2013 г. N 2256-р об утверждении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показатели для оценки эффективности деятельности органов местного самоуправления, определенные правовыми актами Российской Федерации, субъекта Российской Федерации, правовыми актами муниципального образования:</w:t>
      </w:r>
    </w:p>
    <w:p w:rsidR="00E13308" w:rsidRDefault="00E13308">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Указ</w:t>
        </w:r>
      </w:hyperlink>
      <w:r>
        <w:rPr>
          <w:rFonts w:ascii="Calibri" w:hAnsi="Calibri" w:cs="Calibri"/>
        </w:rPr>
        <w:t xml:space="preserve">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w:t>
      </w:r>
    </w:p>
    <w:p w:rsidR="00E13308" w:rsidRDefault="00E13308">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декабря 2012 г. N 1317 "О мерах </w:t>
      </w:r>
      <w:r>
        <w:rPr>
          <w:rFonts w:ascii="Calibri" w:hAnsi="Calibri" w:cs="Calibri"/>
        </w:rPr>
        <w:lastRenderedPageBreak/>
        <w:t>по реализации Указа Президента Российской Федерации от 28 апреля 2008 г. N 607";</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показатели (индикаторы) государственных программ Российской Федерации, реализуемых в соответствующей сфере деятельности, предусмотренные для субъектов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показатели (индикаторы) государственных программ субъектов Российской Федерации, реализуемых в соответствующей сфере деятельности, предусмотренные для муниципальных образований;</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сводные показатели государственных (муниципальных) заданий на оказание государственных (муниципальных) услуг (выполнение работ).</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(муниципальных) программах рекомендуется учитывать влияние на показатели (индикаторы) всех инструментов государственной (муниципальной) политики: применение налоговых льгот (налоговые льготы рассматриваются в качестве "налоговых расходов"), мер тарифного регулирования, нормативного регулирования, участия в управлении организациями и предприятиями и т.п.</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разработке государственных (муниципальных) программ также рекомендуется:</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мероприятий государственных (муниципальных) программ на принципах проектного управления, что предполагает обязательность обоснования выбора форм и механизмов финансирования реализации конкретных мероприятий (включая возможность их реализации без использования средств соответствующего бюджета либо целесообразность применения механизмов государственно-частного партнерства);</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обоснованных методик оценки эффективности государственных (муниципальных) программ, в том числе в части эффективности бюджетных расходов;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нормы обязательной корректировки государственных (муниципальных) программ, имеющих низкие оценки эффективности по итогам отчетного года, а также порядка учета результатов оценки эффективности при составлении проекта бюджета и уточнении оценки расходов на более отдаленную перспективу;</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государственных (муниципальных) программах иных инструментов программно-целевого метода планирования в целях обеспечения возможности полноценного учета соответствия мероприятий при составлении бюджетов субъектов Российской Федерации (муниципальных образований).</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реализации принципа прозрачности и открытости разработанные государственные (муниципальные) программы следует утверждать и представлять в доступной и понятной форме. Для обеспечения доступности и компактности данных при необходимости рекомендуется разделение государственной (муниципальной) программы на утверждаемую часть и дополнительные (обосновывающие) материалы.</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jc w:val="center"/>
        <w:outlineLvl w:val="1"/>
        <w:rPr>
          <w:rFonts w:ascii="Calibri" w:hAnsi="Calibri" w:cs="Calibri"/>
        </w:rPr>
      </w:pPr>
      <w:bookmarkStart w:id="5" w:name="Par84"/>
      <w:bookmarkEnd w:id="5"/>
      <w:r>
        <w:rPr>
          <w:rFonts w:ascii="Calibri" w:hAnsi="Calibri" w:cs="Calibri"/>
        </w:rPr>
        <w:t>III. Финансовое обеспечение реализации государственной</w:t>
      </w:r>
    </w:p>
    <w:p w:rsidR="00E13308" w:rsidRDefault="00E1330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(муниципальные) программы рекомендуется формировать в едином варианте финансового обеспечения, обоснованном с точки зрения достижения поставленных целей и для реализации которого имеются необходимые ресурсы.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исходить из того, что финансовое обеспечение реализации государственных программ субъекта Российской Федерации в части расходных обязательств субъекта Российской Федерации осуществляется за счет бюджетных ассигнований бюджета субъекта Российской Федерации и бюджета территориального государственного внебюджетного фонда.</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 муниципального образования.</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Согласно </w:t>
      </w:r>
      <w:hyperlink r:id="rId24" w:history="1">
        <w:r>
          <w:rPr>
            <w:rFonts w:ascii="Calibri" w:hAnsi="Calibri" w:cs="Calibri"/>
            <w:color w:val="0000FF"/>
          </w:rPr>
          <w:t>пункту 2 статьи 179</w:t>
        </w:r>
      </w:hyperlink>
      <w:r>
        <w:rPr>
          <w:rFonts w:ascii="Calibri" w:hAnsi="Calibri" w:cs="Calibri"/>
        </w:rPr>
        <w:t xml:space="preserve"> Бюджетного кодекса государственные программы субъекта Российской Федерации (муниципальные программы), предлагаемые к реализации начиная с очередного финансового года, утверждаются в сроки, установленные высшим исполнительным органом государственной власти субъекта Российской Федерации (местной администрацией), т.е. в текущем финансовом году до начала реализации соответствующей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Ключевые решения относительно параметров финансового обеспечения реализации государственных (муниципальных) программ в увязке с ожидаемыми результатами их реализации и целевыми показателями (индикаторами) принимаются при формировании проекта закона (решения) о бюджете.</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при разработке и утверждении в текущем финансовом году новой государственной (муниципальной) программы начало ее реализации должно предусматриваться с очередного финансового года. Одновременно при необходимости возможно аналитическое (справочное) отражение в формируемой государственной (муниципальной) программе соответствующих расходов на текущий финансовый год (при их наличии) по применяемым в текущем финансовом году кодам бюджетной классификации.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Согласно </w:t>
      </w:r>
      <w:hyperlink r:id="rId25" w:history="1">
        <w:r>
          <w:rPr>
            <w:rFonts w:ascii="Calibri" w:hAnsi="Calibri" w:cs="Calibri"/>
            <w:color w:val="0000FF"/>
          </w:rPr>
          <w:t>статье 179</w:t>
        </w:r>
      </w:hyperlink>
      <w:r>
        <w:rPr>
          <w:rFonts w:ascii="Calibri" w:hAnsi="Calibri" w:cs="Calibri"/>
        </w:rPr>
        <w:t xml:space="preserve"> Бюджетного кодекса объем бюджетных ассигнований на финансовое обеспечение реализации государственных (муниципальных) программ утверждается законом (решением) о бюджете. При этом государственные (муниципальные) программы подлежат приведению в соответствие с законом (решением) о бюджете в течение двух месяцев со дня вступления его в силу. </w:t>
      </w:r>
      <w:hyperlink r:id="rId26" w:history="1">
        <w:r>
          <w:rPr>
            <w:rFonts w:ascii="Calibri" w:hAnsi="Calibri" w:cs="Calibri"/>
            <w:color w:val="0000FF"/>
          </w:rPr>
          <w:t>Статьей 5</w:t>
        </w:r>
      </w:hyperlink>
      <w:r>
        <w:rPr>
          <w:rFonts w:ascii="Calibri" w:hAnsi="Calibri" w:cs="Calibri"/>
        </w:rPr>
        <w:t xml:space="preserve"> Бюджетного кодекса определено, что закон (решение) о бюджете вступает в силу с 1 января. В этой связи Бюджетным кодексом предусматривается обязательность приведения государственных (муниципальных) программ в соответствие с первоначальной редакцией закона (решения) о бюджете. Необходимость корректировки государственных (муниципальных) программ в случае внесения изменений в закон (решение) о бюджете Бюджетным кодексом не установлена.</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соответствующих изменений в государственную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государственных (муниципальных) программ. Соответствующую норму рекомендуется закрепить в порядке формирования и реализации государственных программ субъекта Российской Федерации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новых государственных (муниципальных) программ, внесение изменений в действующие государственные (муниципальные) программы рекомендуется синхронизировать по срокам.</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при уточнении объемов финансового обеспечения реализации государственной (муниципальной) программы основные параметры государственной (муниципальной) программы (в том числе индикаторы (показатели) государственной (муниципальной) программы, входящих в ее состав подпрограмм (при наличии), ожидаемые результаты) подлежат корректировке при необходимости в случаях и порядке, установленных высшим исполнительным органом государственной власти субъекта Российской Федерации (местной администрации муниципального образования).</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Согласно </w:t>
      </w:r>
      <w:hyperlink r:id="rId27" w:history="1">
        <w:r>
          <w:rPr>
            <w:rFonts w:ascii="Calibri" w:hAnsi="Calibri" w:cs="Calibri"/>
            <w:color w:val="0000FF"/>
          </w:rPr>
          <w:t>пункту 4 статьи 179</w:t>
        </w:r>
      </w:hyperlink>
      <w:r>
        <w:rPr>
          <w:rFonts w:ascii="Calibri" w:hAnsi="Calibri" w:cs="Calibri"/>
        </w:rPr>
        <w:t xml:space="preserve"> Бюджетного кодекса государственными программами Российской Федерации может быть предусмотрено предоставление субсидий бюджетам субъектов Российской Федерации на реализацию государственных программ субъекта Российской Федерации, направленных на достижение целей, соответствующих государственным программам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вправе предъявлять к государственным программам субъектов Российской Федерации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Российской Федерации. Установление требований к наименованиям государственных программ субъектов Российской Федерации, их структуре (количеству и составу подпрограмм, мероприятий), срокам реализации не входит в компетенцию федеральных органов исполнительной власти.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8" w:history="1">
        <w:r>
          <w:rPr>
            <w:rFonts w:ascii="Calibri" w:hAnsi="Calibri" w:cs="Calibri"/>
            <w:color w:val="0000FF"/>
          </w:rPr>
          <w:t>пункту 4 статьи 179</w:t>
        </w:r>
      </w:hyperlink>
      <w:r>
        <w:rPr>
          <w:rFonts w:ascii="Calibri" w:hAnsi="Calibri" w:cs="Calibri"/>
        </w:rPr>
        <w:t xml:space="preserve"> Бюджетного кодекса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субъекта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вправе предъявлять к муниципальным программам общие требования, касающиеся соответствия их целей, </w:t>
      </w:r>
      <w:r>
        <w:rPr>
          <w:rFonts w:ascii="Calibri" w:hAnsi="Calibri" w:cs="Calibri"/>
        </w:rPr>
        <w:lastRenderedPageBreak/>
        <w:t>инструментов и механизмов достижения этих целей, а также целевых индикаторов соответствующим государственным программам субъектов Российской Федерации. При этом требования к наименованиям муниципальных программ, их структуре (количеству и составу подпрограмм, мероприятий), срокам реализации нарушают права местных администраций муниципальных образований на самостоятельное осуществление своих полномочий.</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государственной власти субъекта Российской Федерации (орган местного самоуправления) вправе самостоятельно принять решение о том, в рамках какой государственной программы субъекта Российской Федерации (муниципальной программы) будет обеспечиваться достижение целей, поставленных в государственной программе Российской Федерации (государственной программе субъекта Российской Федерации). При этом </w:t>
      </w:r>
      <w:proofErr w:type="gramStart"/>
      <w:r>
        <w:rPr>
          <w:rFonts w:ascii="Calibri" w:hAnsi="Calibri" w:cs="Calibri"/>
        </w:rPr>
        <w:t>возможно</w:t>
      </w:r>
      <w:proofErr w:type="gramEnd"/>
      <w:r>
        <w:rPr>
          <w:rFonts w:ascii="Calibri" w:hAnsi="Calibri" w:cs="Calibri"/>
        </w:rPr>
        <w:t xml:space="preserve"> как формирование отдельной государственной (муниципальной) программы, соответствующей направлению государственной (муниципальной) политики, так и включение данного направления в государственные (муниципальные) программы в качестве структурного элемента. Реализация указанного права субъектами Российской Федерации (муниципальными образованиями) не является основанием для отказа в </w:t>
      </w:r>
      <w:proofErr w:type="spellStart"/>
      <w:r>
        <w:rPr>
          <w:rFonts w:ascii="Calibri" w:hAnsi="Calibri" w:cs="Calibri"/>
        </w:rPr>
        <w:t>софинансировании</w:t>
      </w:r>
      <w:proofErr w:type="spellEnd"/>
      <w:r>
        <w:rPr>
          <w:rFonts w:ascii="Calibri" w:hAnsi="Calibri" w:cs="Calibri"/>
        </w:rPr>
        <w:t xml:space="preserve"> соответствующих мероприятий за счет средств федерального бюджета (бюджета субъекта Российской Федерации).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Объемы финансового обеспечения реализации государственной программы субъекта Российской Федерации {муниципальной программы) за счет средств соответствующего бюджета на период после очередного финансового года и планового периода определяются исходя из установленного высшим исполнительным органом государственной власти субъекта Российской Федерации (местной администрацией муниципального образования) предельного объема расходов на реализацию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29" w:history="1">
        <w:r>
          <w:rPr>
            <w:rFonts w:ascii="Calibri" w:hAnsi="Calibri" w:cs="Calibri"/>
            <w:color w:val="0000FF"/>
          </w:rPr>
          <w:t>статьей 11</w:t>
        </w:r>
      </w:hyperlink>
      <w:r>
        <w:rPr>
          <w:rFonts w:ascii="Calibri" w:hAnsi="Calibri" w:cs="Calibri"/>
        </w:rPr>
        <w:t xml:space="preserve"> Федерального закона от 28 июня 2014 г. N 172-ФЗ "О стратегическом планировании в Российской Федерации" к документам стратегического планирования, разрабатываемым на уровне субъекта Российской Федерации (муниципального образования), относится бюджетный прогноз субъекта Российской Федерации (муниципального образования) на долгосрочный период (далее - бюджетный прогноз), Бюджетный прогноз разрабатывается в соответствии с Бюджетным </w:t>
      </w:r>
      <w:hyperlink r:id="rId30" w:history="1">
        <w:r>
          <w:rPr>
            <w:rFonts w:ascii="Calibri" w:hAnsi="Calibri" w:cs="Calibri"/>
            <w:color w:val="0000FF"/>
          </w:rPr>
          <w:t>кодексом</w:t>
        </w:r>
      </w:hyperlink>
      <w:r>
        <w:rPr>
          <w:rFonts w:ascii="Calibri" w:hAnsi="Calibri" w:cs="Calibri"/>
        </w:rPr>
        <w:t>.</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финансовое обеспечение реализации государственных (муниципальных) программ за счет средств соответствующего бюджета на период после очередного финансового года и планового периода определять в процессе разработки и утверждения бюджетного прогноза.</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Нормативными правовыми актами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может предусматриваться возможность заключения долгосрочных государственных (муниципальных) контрактов, предметами которых являются выполнение работ, оказание услуг (</w:t>
      </w:r>
      <w:hyperlink r:id="rId31" w:history="1">
        <w:r>
          <w:rPr>
            <w:rFonts w:ascii="Calibri" w:hAnsi="Calibri" w:cs="Calibri"/>
            <w:color w:val="0000FF"/>
          </w:rPr>
          <w:t>абзац 3 пункта 3 статьи 72</w:t>
        </w:r>
      </w:hyperlink>
      <w:r>
        <w:rPr>
          <w:rFonts w:ascii="Calibri" w:hAnsi="Calibri" w:cs="Calibri"/>
        </w:rPr>
        <w:t xml:space="preserve"> Бюджетного кодекса) в рамках основных мероприятий (мероприятий)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основных мероприятий (мероприятий) государственной программы субъекта Российской Федерации может предусматриваться возможность заключения долгосрочных государственных контрактов, предметом которых является поставка товаров, при наличии встречных обязательств (</w:t>
      </w:r>
      <w:hyperlink r:id="rId32" w:history="1">
        <w:r>
          <w:rPr>
            <w:rFonts w:ascii="Calibri" w:hAnsi="Calibri" w:cs="Calibri"/>
            <w:color w:val="0000FF"/>
          </w:rPr>
          <w:t>абзац 4 пункта 3 статьи 72</w:t>
        </w:r>
      </w:hyperlink>
      <w:r>
        <w:rPr>
          <w:rFonts w:ascii="Calibri" w:hAnsi="Calibri" w:cs="Calibri"/>
        </w:rPr>
        <w:t xml:space="preserve"> Бюджетного кодекса).</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программы, предусматривающие заключение долгосрочных контрактов на поставку товаров, выполнение работ, оказание услуг, должны содержать следующую информацию: наименование объекта закупки, сроки осуществления закупки, предельный объем средств на оплату исполнения контракта с разбивкой по годам, планируемые результаты выполнения работ, оказания услуг (предмет встречного обязательства и срок его исполнения).</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на обеспечение функций органов государственной власти субъекта Российской Федерации (органов местного самоуправления), являющихся ответственными исполнителями одной государственной (муниципальной) программы, рекомендуется отражать в составе государственной (муниципальной) программы, в которой орган государственной власти субъекта Российской Федерации (орган местного самоуправления) является ответственным исполнителем, в том числе в случае его участия в иных государственных (муниципальных) программах.</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органы государственной власти субъекта Российской Федерации (органы </w:t>
      </w:r>
      <w:r>
        <w:rPr>
          <w:rFonts w:ascii="Calibri" w:hAnsi="Calibri" w:cs="Calibri"/>
        </w:rPr>
        <w:lastRenderedPageBreak/>
        <w:t>местного самоуправления) являются ответственными исполнителями нескольких государственных (муниципальных) программ, отражение расходов на обеспечение установленных функций возможно либо в непрограммной части расходов бюджета, либо в составе государственной (муниципальной) программы, в рамках которой преимущественно реализуются полномочия соответствующего органа государственной власти субъекта Российской Федерации (органа местного самоуправления), либо финансовое обеспечение которой преобладает.</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органов государственной власти субъекта Российской Федерации (органов местного самоуправления), не являющихся ответственными исполнителями государственных (муниципальных) программ, расходы на обеспечение установленных функций также возможно включать либо в состав непрограммной части расходов бюджета, либо в состав государственной (муниципальной) программы, в рамках которой преимущественно реализуются полномочия соответствующего органа государственной власти субъекта Российской Федерации (органа местного самоуправления), либо финансовое обеспечение которой преобладает.</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бюджета на обеспечение функций органов государственной власти субъекта Российской Федерации (органов местного самоуправления), участвующих в реализации нескольких подпрограмм (при наличии) одной государственной (муниципальной) программы, и иные средства, направленные на реализацию нескольких подпрограмм (при наличии) одной государственной (муниципальной) программы, могут в полном объеме отражаться в составе подпрограммы (при наличии), которая направлена на обеспечение реализации государственной (муниципальной) программы. В таком случае целесообразно отдельно сформировать указанную подпрограмму.</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содержание законодательных (представительных) органов, судебных органов, избирательных комиссий, контрольно-счетных органов и т.п. органов субъектов Российской Федерации (муниципальных образований) в рамках государственных (муниципальных) программ не отражаются ввиду невозможности установления высшим исполнительным органом государственной власти субъекта Российской Федерации (местной администрацией муниципального образования) целевых показателей (индикаторов) для таких органов.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определении параметров финансового обеспечения реализации государственной (муниципальной) программы следует принимать во внимание деятельность организаций и предприятий, в том числе с государственным (муниципальным) участием, в соответствующих отраслях.</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состав государственной (муниципальной) программы рекомендуется аналитически (</w:t>
      </w:r>
      <w:proofErr w:type="spellStart"/>
      <w:r>
        <w:rPr>
          <w:rFonts w:ascii="Calibri" w:hAnsi="Calibri" w:cs="Calibri"/>
        </w:rPr>
        <w:t>справочно</w:t>
      </w:r>
      <w:proofErr w:type="spellEnd"/>
      <w:r>
        <w:rPr>
          <w:rFonts w:ascii="Calibri" w:hAnsi="Calibri" w:cs="Calibri"/>
        </w:rPr>
        <w:t>) включать информацию о расходах организаций, предприятий с учетом их консолидации с расходами соответствующего бюджета.</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участия в реализации государственной (муниципальной) программы коммерческих организаций, общественных, научных и иных организаций, в государственной (муниципальной) программе подлежит отражению соответствующая информация, включающая данные о прогнозных расходах указанных организаций на реализацию государственной (муниципальной) программы. Указанные сведения следует получать непосредственно от таких организаций в форме обоснованных данных, содержащихся в том числе в документах финансово-экономического планирования.</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финансовое обеспечение основных мероприятий (мероприятий) государственной программы рекомендуется включать объемы субсидии и (или) субвенции из бюджета субъекта Российской Федерации бюджетам муниципальных образований в случаях, если их целевое назначение соответствует целям и задачам государственной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участия муниципальных образований в реализации государственной программы субъекта Российской Федерации рекомендуется аналитически (</w:t>
      </w:r>
      <w:proofErr w:type="spellStart"/>
      <w:r>
        <w:rPr>
          <w:rFonts w:ascii="Calibri" w:hAnsi="Calibri" w:cs="Calibri"/>
        </w:rPr>
        <w:t>справочно</w:t>
      </w:r>
      <w:proofErr w:type="spellEnd"/>
      <w:r>
        <w:rPr>
          <w:rFonts w:ascii="Calibri" w:hAnsi="Calibri" w:cs="Calibri"/>
        </w:rPr>
        <w:t>) включать прогнозируемый объем расходов бюджетов муниципальных образований на цели и задачи государственной программы (на реализацию аналогичных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jc w:val="center"/>
        <w:outlineLvl w:val="1"/>
        <w:rPr>
          <w:rFonts w:ascii="Calibri" w:hAnsi="Calibri" w:cs="Calibri"/>
        </w:rPr>
      </w:pPr>
      <w:bookmarkStart w:id="6" w:name="Par119"/>
      <w:bookmarkEnd w:id="6"/>
      <w:r>
        <w:rPr>
          <w:rFonts w:ascii="Calibri" w:hAnsi="Calibri" w:cs="Calibri"/>
        </w:rPr>
        <w:t>IV. Оценка эффективности бюджетных расходов в рамках</w:t>
      </w:r>
    </w:p>
    <w:p w:rsidR="00E13308" w:rsidRDefault="00E1330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Согласно </w:t>
      </w:r>
      <w:hyperlink r:id="rId33" w:history="1">
        <w:r>
          <w:rPr>
            <w:rFonts w:ascii="Calibri" w:hAnsi="Calibri" w:cs="Calibri"/>
            <w:color w:val="0000FF"/>
          </w:rPr>
          <w:t>статье 34</w:t>
        </w:r>
      </w:hyperlink>
      <w:r>
        <w:rPr>
          <w:rFonts w:ascii="Calibri" w:hAnsi="Calibri" w:cs="Calibri"/>
        </w:rPr>
        <w:t xml:space="preserve"> Бюджетного кодекса при составлении и исполнении бюджетов </w:t>
      </w:r>
      <w:r>
        <w:rPr>
          <w:rFonts w:ascii="Calibri" w:hAnsi="Calibri" w:cs="Calibri"/>
        </w:rPr>
        <w:lastRenderedPageBreak/>
        <w:t>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государственных (муниципальных) программ мероприятий.</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результативности бюджетных расходов основывается на анализе:</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наилучших количественных и качественных характеристик исполнения мероприятий государственных (муниципальных) программ и их сопоставлении с фактическими характеристиками;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степени достижения установленных социально-экономических целей, удовлетворенности целевых групп потребителей государственных услуг.</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Оценку эффективности бюджетных расходов на стадии планирования и исполнения государственных (муниципальных) программ рекомендуется осуществлять с учетом следующих условий:</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всей совокупности бюджетных и иных мер (налоговые, таможенные, тарифные, кредитные и пр.), направленных на достижение тех или иных целей государственной (муниципальной) политики;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сопоставимость объектов оценки;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независимость оценки;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публичность и общедоступность промежуточных и итоговых результатов оценки;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результатов оценки эффективности бюджетных расходов для уточнения государственных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эффективности бюджетных расходов в рамках государственных (муниципальных) программ предлагается проводить по двум основным направлениям:</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качества проектов государственных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качества реализации государственных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Оценка качества проектов государственных (муниципальных) программ может осуществляться по таким критериям, как:</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целей и индикаторов государственной (муниципальной) программы нормативным правовым актам и документам, определяющим стратегические приоритеты социально-экономического развития субъекта Российской Федерации (муниципального образования), в том числе отраслевого характера;</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показателей государственной (муниципальной) программы (подпрограммы - при наличии) на "непосредственные", характеризующие результаты использования ресурсов, и "конечные", характеризующие общественно значимый социально-экономический эффект;</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задач и показателей целям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и обоснованность выбранных форм государственной (муниципальной) поддержки с учетом альтернативных вариантов;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согласованность и непротиворечивость основных мероприятий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привлечения внебюджетных источников финансового обеспечения реализации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обоснованность состава основных мероприятий (мероприятий) подпрограммы (при наличии) государственной (муниципальной) программы для решения поставленных задач подпрограммы (при наличии);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применения инструментов проектного управления для достижения целей государственных (муниципальных) программ, в том числе наличие методики, обеспечивающей выбор оптимального набора проектов;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сопоставления альтернативных вариантов для достижения целей и задач подпрограммы (при наличии) и их обоснованность, в том числе обоснованность выбора механизма государственной (муниципальной) поддержки; полнота описания рисков и наличие мер по </w:t>
      </w:r>
      <w:r>
        <w:rPr>
          <w:rFonts w:ascii="Calibri" w:hAnsi="Calibri" w:cs="Calibri"/>
        </w:rPr>
        <w:lastRenderedPageBreak/>
        <w:t>управлению ими;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описания прямых и косвенных (сопутствующих результату) эффектов от реализации государственной (муниципальной) программы, в том числе оценка влияния государственной (муниципальной) программы на экономические, социальные и финансовые показатели;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полнота обоснования выделенных целевых групп, на которых направлено действие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общественных обсуждений хода и промежуточных результатов реализации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Оценку качества реализации государственных (муниципальных) программ следует осуществлять по таким критериям, как:</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соблюдение плана (графика) реализации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доведения и полнота распределения лимитов бюджетных обязательств;</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кассовых расходов графику финансового обеспечения реализации государственной (муниципальной) программы; качество обоснований изменений в бюджетную роспись; соответствие запланированных затрат на реализацию государственной (муниципальной) программы фактическим;</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обоснования объема неиспользованных бюджетных ассигнований на реализацию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достижения целей и показателей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реализации подпрограмм (при наличии) государственной (муниципальной) программы;</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задач и показателей государственных (муниципальных) заданий на оказание государственных (муниципальных) услуг (выполнение работ) задачам и показателям подпрограммы (при наличии) в случае оказания государственных (муниципальных) услуг (выполнения работ);</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межведомственного взаимодействия ответственного исполнителя с иными заинтересованными органами при реализации государственных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взаимодействия публично-правовых образований, взаимодействия с предприятиями и организациями, территориальными государственными внебюджетными фондами и </w:t>
      </w:r>
      <w:proofErr w:type="gramStart"/>
      <w:r>
        <w:rPr>
          <w:rFonts w:ascii="Calibri" w:hAnsi="Calibri" w:cs="Calibri"/>
        </w:rPr>
        <w:t>другими заинтересованными органами</w:t>
      </w:r>
      <w:proofErr w:type="gramEnd"/>
      <w:r>
        <w:rPr>
          <w:rFonts w:ascii="Calibri" w:hAnsi="Calibri" w:cs="Calibri"/>
        </w:rPr>
        <w:t xml:space="preserve"> и организациями при реализации государственных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достижения значений показателей и их достоверность на основе сопоставления с данными статистического наблюдения, бухгалтерской и финансовой отчетности;</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систем внутреннего контроля и аудита при реализации государственных (муниципальных) программ;</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правонарушений, выявленных в ходе внутреннего и внешнего государственного (муниципального) контроля;</w:t>
      </w:r>
    </w:p>
    <w:p w:rsidR="00E13308" w:rsidRDefault="00E133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по открытости и прозрачности информации об исполнении государственной (муниципальной) программы, ее мероприятиях, о расходах и о процедурах принятия решений.</w:t>
      </w: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autoSpaceDE w:val="0"/>
        <w:autoSpaceDN w:val="0"/>
        <w:adjustRightInd w:val="0"/>
        <w:spacing w:after="0" w:line="240" w:lineRule="auto"/>
        <w:ind w:firstLine="540"/>
        <w:jc w:val="both"/>
        <w:rPr>
          <w:rFonts w:ascii="Calibri" w:hAnsi="Calibri" w:cs="Calibri"/>
        </w:rPr>
      </w:pPr>
    </w:p>
    <w:p w:rsidR="00E13308" w:rsidRDefault="00E133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56637" w:rsidRDefault="00456637"/>
    <w:sectPr w:rsidR="00456637" w:rsidSect="006A5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08"/>
    <w:rsid w:val="00456637"/>
    <w:rsid w:val="00E13308"/>
    <w:rsid w:val="00F15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F114D-6049-4EBC-9006-C810565D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A8DE7C0EF774FF7CB781CCB5BC93690453D61ABDEAB7D5C64B49B9E7R912G" TargetMode="External"/><Relationship Id="rId13" Type="http://schemas.openxmlformats.org/officeDocument/2006/relationships/hyperlink" Target="consultantplus://offline/ref=18A8DE7C0EF774FF7CB781CCB5BC9369045DD015B8EBB7D5C64B49B9E792DC0BB8F17F2A38R112G" TargetMode="External"/><Relationship Id="rId18" Type="http://schemas.openxmlformats.org/officeDocument/2006/relationships/hyperlink" Target="consultantplus://offline/ref=18A8DE7C0EF774FF7CB781CCB5BC93690452D217B0E7B7D5C64B49B9E7R912G" TargetMode="External"/><Relationship Id="rId26" Type="http://schemas.openxmlformats.org/officeDocument/2006/relationships/hyperlink" Target="consultantplus://offline/ref=18A8DE7C0EF774FF7CB781CCB5BC9369045DD015B8EBB7D5C64B49B9E792DC0BB8F17F203FR114G" TargetMode="External"/><Relationship Id="rId3" Type="http://schemas.openxmlformats.org/officeDocument/2006/relationships/webSettings" Target="webSettings.xml"/><Relationship Id="rId21" Type="http://schemas.openxmlformats.org/officeDocument/2006/relationships/hyperlink" Target="consultantplus://offline/ref=18A8DE7C0EF774FF7CB781CCB5BC93690450D711B9E1B7D5C64B49B9E7R912G" TargetMode="External"/><Relationship Id="rId34" Type="http://schemas.openxmlformats.org/officeDocument/2006/relationships/fontTable" Target="fontTable.xml"/><Relationship Id="rId7" Type="http://schemas.openxmlformats.org/officeDocument/2006/relationships/hyperlink" Target="consultantplus://offline/ref=18A8DE7C0EF774FF7CB781CCB5BC93690453D61ABCE2B7D5C64B49B9E7R912G" TargetMode="External"/><Relationship Id="rId12" Type="http://schemas.openxmlformats.org/officeDocument/2006/relationships/hyperlink" Target="consultantplus://offline/ref=18A8DE7C0EF774FF7CB781CCB5BC9369045DD015B8EBB7D5C64B49B9E792DC0BB8F17F203FR110G" TargetMode="External"/><Relationship Id="rId17" Type="http://schemas.openxmlformats.org/officeDocument/2006/relationships/hyperlink" Target="consultantplus://offline/ref=18A8DE7C0EF774FF7CB781CCB5BC93690452D613BEE5B7D5C64B49B9E7R912G" TargetMode="External"/><Relationship Id="rId25" Type="http://schemas.openxmlformats.org/officeDocument/2006/relationships/hyperlink" Target="consultantplus://offline/ref=18A8DE7C0EF774FF7CB781CCB5BC9369045DD015B8EBB7D5C64B49B9E792DC0BB8F17F293E153BC8R11EG" TargetMode="External"/><Relationship Id="rId33" Type="http://schemas.openxmlformats.org/officeDocument/2006/relationships/hyperlink" Target="consultantplus://offline/ref=18A8DE7C0EF774FF7CB781CCB5BC9369045DD015B8EBB7D5C64B49B9E792DC0BB8F17F293E1538C0R116G" TargetMode="Externa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18A8DE7C0EF774FF7CB781CCB5BC9369045DD015B8EBB7D5C64B49B9E792DC0BB8F17F293E143FC6R11DG" TargetMode="External"/><Relationship Id="rId20" Type="http://schemas.openxmlformats.org/officeDocument/2006/relationships/hyperlink" Target="consultantplus://offline/ref=18A8DE7C0EF774FF7CB781CCB5BC93690452D716B9E6B7D5C64B49B9E7R912G" TargetMode="External"/><Relationship Id="rId29" Type="http://schemas.openxmlformats.org/officeDocument/2006/relationships/hyperlink" Target="consultantplus://offline/ref=18A8DE7C0EF774FF7CB781CCB5BC93690453D61ABCE2B7D5C64B49B9E792DC0BB8F17F293E1638C8R11DG" TargetMode="External"/><Relationship Id="rId1" Type="http://schemas.openxmlformats.org/officeDocument/2006/relationships/styles" Target="styles.xml"/><Relationship Id="rId6" Type="http://schemas.openxmlformats.org/officeDocument/2006/relationships/hyperlink" Target="consultantplus://offline/ref=18A8DE7C0EF774FF7CB781CCB5BC9369045DD015B8EBB7D5C64B49B9E792DC0BB8F17F293E153BC8R11EG" TargetMode="External"/><Relationship Id="rId11" Type="http://schemas.openxmlformats.org/officeDocument/2006/relationships/hyperlink" Target="consultantplus://offline/ref=18A8DE7C0EF774FF7CB781CCB5BC9369045DD310B0EAB7D5C64B49B9E7R912G" TargetMode="External"/><Relationship Id="rId24" Type="http://schemas.openxmlformats.org/officeDocument/2006/relationships/hyperlink" Target="consultantplus://offline/ref=18A8DE7C0EF774FF7CB781CCB5BC9369045DD015B8EBB7D5C64B49B9E792DC0BB8F17F293E153BC8R11AG" TargetMode="External"/><Relationship Id="rId32" Type="http://schemas.openxmlformats.org/officeDocument/2006/relationships/hyperlink" Target="consultantplus://offline/ref=18A8DE7C0EF774FF7CB781CCB5BC9369045DD015B8EBB7D5C64B49B9E792DC0BB8F17F293E1538C2R118G" TargetMode="External"/><Relationship Id="rId37" Type="http://schemas.openxmlformats.org/officeDocument/2006/relationships/customXml" Target="../customXml/item2.xml"/><Relationship Id="rId5" Type="http://schemas.openxmlformats.org/officeDocument/2006/relationships/hyperlink" Target="consultantplus://offline/ref=18A8DE7C0EF774FF7CB781CCB5BC93690452D110BFE6B7D5C64B49B9E7R912G" TargetMode="External"/><Relationship Id="rId15" Type="http://schemas.openxmlformats.org/officeDocument/2006/relationships/hyperlink" Target="consultantplus://offline/ref=18A8DE7C0EF774FF7CB781CCB5BC9369045DD015B8EBB7D5C64B49B9E792DC0BB8F17F2D3ER114G" TargetMode="External"/><Relationship Id="rId23" Type="http://schemas.openxmlformats.org/officeDocument/2006/relationships/hyperlink" Target="consultantplus://offline/ref=18A8DE7C0EF774FF7CB781CCB5BC93690452D115B8E2B7D5C64B49B9E7R912G" TargetMode="External"/><Relationship Id="rId28" Type="http://schemas.openxmlformats.org/officeDocument/2006/relationships/hyperlink" Target="consultantplus://offline/ref=18A8DE7C0EF774FF7CB781CCB5BC9369045DD015B8EBB7D5C64B49B9E792DC0BB8F17F293E153BC9R11EG" TargetMode="External"/><Relationship Id="rId36" Type="http://schemas.openxmlformats.org/officeDocument/2006/relationships/customXml" Target="../customXml/item1.xml"/><Relationship Id="rId10" Type="http://schemas.openxmlformats.org/officeDocument/2006/relationships/hyperlink" Target="consultantplus://offline/ref=18A8DE7C0EF774FF7CB781CCB5BC9369045DD015B8EBB7D5C64B49B9E792DC0BB8F17F293E17R31DG" TargetMode="External"/><Relationship Id="rId19" Type="http://schemas.openxmlformats.org/officeDocument/2006/relationships/hyperlink" Target="consultantplus://offline/ref=18A8DE7C0EF774FF7CB781CCB5BC93690452DA14BEEBB7D5C64B49B9E7R912G" TargetMode="External"/><Relationship Id="rId31" Type="http://schemas.openxmlformats.org/officeDocument/2006/relationships/hyperlink" Target="consultantplus://offline/ref=18A8DE7C0EF774FF7CB781CCB5BC9369045DD015B8EBB7D5C64B49B9E792DC0BB8F17F293E1538C2R11BG" TargetMode="External"/><Relationship Id="rId4" Type="http://schemas.openxmlformats.org/officeDocument/2006/relationships/hyperlink" Target="consultantplus://offline/ref=18A8DE7C0EF774FF7CB788D5B2BC9369005CD116BAE7B7D5C64B49B9E792DC0BB8F17F293E1639C0R11BG" TargetMode="External"/><Relationship Id="rId9" Type="http://schemas.openxmlformats.org/officeDocument/2006/relationships/hyperlink" Target="consultantplus://offline/ref=18A8DE7C0EF774FF7CB781CCB5BC9369045DD015B8EBB7D5C64B49B9E792DC0BB8F17F293E143FC7R119G" TargetMode="External"/><Relationship Id="rId14" Type="http://schemas.openxmlformats.org/officeDocument/2006/relationships/hyperlink" Target="consultantplus://offline/ref=18A8DE7C0EF774FF7CB781CCB5BC9369045DD015B8EBB7D5C64B49B9E792DC0BB8F17F2A39R113G" TargetMode="External"/><Relationship Id="rId22" Type="http://schemas.openxmlformats.org/officeDocument/2006/relationships/hyperlink" Target="consultantplus://offline/ref=18A8DE7C0EF774FF7CB781CCB5BC93690456D417BDE0B7D5C64B49B9E7R912G" TargetMode="External"/><Relationship Id="rId27" Type="http://schemas.openxmlformats.org/officeDocument/2006/relationships/hyperlink" Target="consultantplus://offline/ref=18A8DE7C0EF774FF7CB781CCB5BC9369045DD015B8EBB7D5C64B49B9E792DC0BB8F17F293E153BC9R11EG" TargetMode="External"/><Relationship Id="rId30" Type="http://schemas.openxmlformats.org/officeDocument/2006/relationships/hyperlink" Target="consultantplus://offline/ref=18A8DE7C0EF774FF7CB781CCB5BC9369045DD015B8EBB7D5C64B49B9E7R912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3BC753-AA80-465A-B552-8906E8DE1F90}"/>
</file>

<file path=customXml/itemProps2.xml><?xml version="1.0" encoding="utf-8"?>
<ds:datastoreItem xmlns:ds="http://schemas.openxmlformats.org/officeDocument/2006/customXml" ds:itemID="{AAC2E5DF-133D-4AB8-9428-0E4CB6975376}"/>
</file>

<file path=customXml/itemProps3.xml><?xml version="1.0" encoding="utf-8"?>
<ds:datastoreItem xmlns:ds="http://schemas.openxmlformats.org/officeDocument/2006/customXml" ds:itemID="{E8F7CA14-514A-460B-B4AB-0D62FF794C59}"/>
</file>

<file path=docProps/app.xml><?xml version="1.0" encoding="utf-8"?>
<Properties xmlns="http://schemas.openxmlformats.org/officeDocument/2006/extended-properties" xmlns:vt="http://schemas.openxmlformats.org/officeDocument/2006/docPropsVTypes">
  <Template>Normal</Template>
  <TotalTime>1</TotalTime>
  <Pages>10</Pages>
  <Words>6140</Words>
  <Characters>35000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Пьянкова Светлана Григорьевна</dc:creator>
  <cp:keywords/>
  <dc:description/>
  <cp:lastModifiedBy>Пьянкова Светлана Григорьевна</cp:lastModifiedBy>
  <cp:revision>2</cp:revision>
  <cp:lastPrinted>2015-07-23T06:53:00Z</cp:lastPrinted>
  <dcterms:created xsi:type="dcterms:W3CDTF">2015-07-23T06:53:00Z</dcterms:created>
  <dcterms:modified xsi:type="dcterms:W3CDTF">2015-08-14T06:39:00Z</dcterms:modified>
</cp:coreProperties>
</file>