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3C" w:rsidRDefault="0073653C">
      <w:pPr>
        <w:autoSpaceDE w:val="0"/>
        <w:spacing w:after="0" w:line="240" w:lineRule="auto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bookmarkStart w:id="0" w:name="_GoBack"/>
      <w:bookmarkEnd w:id="0"/>
    </w:p>
    <w:p w:rsidR="0073653C" w:rsidRDefault="00385DF1">
      <w:pPr>
        <w:autoSpaceDE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>ИНФОРМАЦИЯ</w:t>
      </w:r>
    </w:p>
    <w:p w:rsidR="0073653C" w:rsidRDefault="00385DF1">
      <w:pPr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>о результатах оценки эффективности налоговых льгот, предоставленных в соответствии с законодательством Свердловской области о налогах и сборах в 2019 году</w:t>
      </w:r>
    </w:p>
    <w:p w:rsidR="0073653C" w:rsidRDefault="0073653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3653C" w:rsidRDefault="00385DF1">
      <w:pPr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Оценка </w:t>
      </w:r>
      <w:r>
        <w:rPr>
          <w:rFonts w:ascii="Liberation Serif" w:hAnsi="Liberation Serif" w:cs="Liberation Serif"/>
          <w:sz w:val="28"/>
          <w:szCs w:val="28"/>
        </w:rPr>
        <w:t>эффективности налоговых льгот, предоставленных в соответствии с законодательством Свердловской области о налогах и сборах в 2019 году, проведена в соответствии с методикой, утвержденной постановлением Правительства Свердловской области от 18.01.2018 № 11-П</w:t>
      </w:r>
      <w:r>
        <w:rPr>
          <w:rFonts w:ascii="Liberation Serif" w:hAnsi="Liberation Serif" w:cs="Liberation Serif"/>
          <w:sz w:val="28"/>
          <w:szCs w:val="28"/>
        </w:rPr>
        <w:t>П «О порядке рассмотрения обращений о 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льгот», на основании данных статистической налоговой отчетности, сведений</w:t>
      </w:r>
      <w:r>
        <w:rPr>
          <w:rFonts w:ascii="Liberation Serif" w:hAnsi="Liberation Serif" w:cs="Liberation Serif"/>
          <w:sz w:val="28"/>
          <w:szCs w:val="28"/>
        </w:rPr>
        <w:t xml:space="preserve"> Управления Федеральной налоговой службы по Свердловской области, а также информации от налогоплательщиков-получателей льгот.</w:t>
      </w:r>
    </w:p>
    <w:p w:rsidR="0073653C" w:rsidRDefault="0073653C">
      <w:pPr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3653C" w:rsidRDefault="00385DF1">
      <w:pPr>
        <w:overflowPunct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b/>
          <w:sz w:val="28"/>
          <w:szCs w:val="28"/>
        </w:rPr>
        <w:t>. Налоговые льготы, установленные законодательством Свердловской области о налогах и сборах</w:t>
      </w:r>
    </w:p>
    <w:p w:rsidR="0073653C" w:rsidRDefault="0073653C">
      <w:pPr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3653C" w:rsidRDefault="00385DF1">
      <w:pPr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недополученных доходов по рег</w:t>
      </w:r>
      <w:r>
        <w:rPr>
          <w:rFonts w:ascii="Liberation Serif" w:hAnsi="Liberation Serif" w:cs="Liberation Serif"/>
          <w:sz w:val="28"/>
          <w:szCs w:val="28"/>
        </w:rPr>
        <w:t>иональным налогам (налог на имущество организаций и транспортный налог) и налогу на прибыль организаций в результате действия региональных преференций в 2019 году составил 4,75 млрд. рублей, или 2,2% от всех налоговых доходов областного бюджета (снижение к</w:t>
      </w:r>
      <w:r>
        <w:rPr>
          <w:rFonts w:ascii="Liberation Serif" w:hAnsi="Liberation Serif" w:cs="Liberation Serif"/>
          <w:sz w:val="28"/>
          <w:szCs w:val="28"/>
        </w:rPr>
        <w:t xml:space="preserve"> 2018 году на 4,6 млрд. рублей, или в 2 раза), из них:</w:t>
      </w:r>
    </w:p>
    <w:p w:rsidR="0073653C" w:rsidRDefault="00385DF1">
      <w:pPr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налогу на прибыль – 2,53 млрд. рублей (снижение к 2018 году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145 млн. рублей, или на 5,2%);</w:t>
      </w:r>
    </w:p>
    <w:p w:rsidR="0073653C" w:rsidRDefault="00385DF1">
      <w:pPr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налогу на имущество организаций – 1,92 млрд. рублей (снижение к 2018 году на 4,5 млрд. рублей, или в</w:t>
      </w:r>
      <w:r>
        <w:rPr>
          <w:rFonts w:ascii="Liberation Serif" w:hAnsi="Liberation Serif" w:cs="Liberation Serif"/>
          <w:sz w:val="28"/>
          <w:szCs w:val="28"/>
        </w:rPr>
        <w:t xml:space="preserve"> 3 раза за счет исключения из налоговой базы движимого имущества, соответственно преференции для данной категории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 2019 года не применяются);</w:t>
      </w:r>
    </w:p>
    <w:p w:rsidR="0073653C" w:rsidRDefault="00385DF1">
      <w:pPr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транспортному налогу – 298 млн. рублей (на уровне 2018 года).</w:t>
      </w:r>
    </w:p>
    <w:p w:rsidR="0073653C" w:rsidRDefault="00385DF1">
      <w:pPr>
        <w:overflowPunct w:val="0"/>
        <w:autoSpaceDE w:val="0"/>
        <w:spacing w:after="12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Основную долю составили </w:t>
      </w:r>
      <w:r>
        <w:rPr>
          <w:rFonts w:ascii="Liberation Serif" w:hAnsi="Liberation Serif" w:cs="Liberation Serif"/>
          <w:b/>
          <w:sz w:val="28"/>
          <w:szCs w:val="28"/>
        </w:rPr>
        <w:t>стимулирующие налоговые</w:t>
      </w:r>
      <w:r>
        <w:rPr>
          <w:rFonts w:ascii="Liberation Serif" w:hAnsi="Liberation Serif" w:cs="Liberation Serif"/>
          <w:b/>
          <w:sz w:val="28"/>
          <w:szCs w:val="28"/>
        </w:rPr>
        <w:t xml:space="preserve"> льготы</w:t>
      </w:r>
      <w:r>
        <w:rPr>
          <w:rFonts w:ascii="Liberation Serif" w:hAnsi="Liberation Serif" w:cs="Liberation Serif"/>
          <w:sz w:val="28"/>
          <w:szCs w:val="28"/>
        </w:rPr>
        <w:t>, которые направлены на привлечение инвестиций и расширение экономического потенциала, – 3,7 млрд. рублей, или 78%, в том числе:</w:t>
      </w:r>
    </w:p>
    <w:p w:rsidR="0073653C" w:rsidRDefault="00385DF1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Участникам приоритетных инвестиционных проектов Свердловской области </w:t>
      </w:r>
      <w:r>
        <w:rPr>
          <w:rFonts w:ascii="Liberation Serif" w:hAnsi="Liberation Serif" w:cs="Liberation Serif"/>
          <w:sz w:val="28"/>
          <w:szCs w:val="28"/>
        </w:rPr>
        <w:t xml:space="preserve">(далее – участники ПИП) по новому строительству </w:t>
      </w:r>
      <w:r>
        <w:rPr>
          <w:rFonts w:ascii="Liberation Serif" w:hAnsi="Liberation Serif" w:cs="Liberation Serif"/>
          <w:sz w:val="28"/>
          <w:szCs w:val="28"/>
        </w:rPr>
        <w:t>– сумма налоговой льготы в 2019 году составила 2,87 млрд. рублей (снижение к 2018 году на 15%), воспользовались 6 организаций (в том числе: налог на прибыль организаций 2,3 млрд. рублей, налог на имущество организаций 577 млн. рублей).</w:t>
      </w:r>
    </w:p>
    <w:p w:rsidR="0073653C" w:rsidRDefault="00385DF1">
      <w:pPr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Налоговые льготы в о</w:t>
      </w:r>
      <w:r>
        <w:rPr>
          <w:rFonts w:ascii="Liberation Serif" w:hAnsi="Liberation Serif" w:cs="Liberation Serif"/>
          <w:sz w:val="28"/>
          <w:szCs w:val="28"/>
        </w:rPr>
        <w:t>тношении участников ПИП эффективны, так как имеют прямую зависимость применения – только при реализации инвестиционных проектов, которая обеспечена (с начала действия проектов) объемом реализованных инвестиций в размере 78,9 млрд. рублей, созданием 1396 ра</w:t>
      </w:r>
      <w:r>
        <w:rPr>
          <w:rFonts w:ascii="Liberation Serif" w:hAnsi="Liberation Serif" w:cs="Liberation Serif"/>
          <w:sz w:val="28"/>
          <w:szCs w:val="28"/>
        </w:rPr>
        <w:t>бочих мест.</w:t>
      </w:r>
    </w:p>
    <w:p w:rsidR="0073653C" w:rsidRDefault="00385DF1">
      <w:pPr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2019 году налоговые поступления в бюджет от данной категории налогоплательщиков составили 10,3 млрд. рублей (или 4,8% от всех налоговых поступлений в областной бюджет), объем инвестиций – 4,1 млрд. рублей, таким </w:t>
      </w:r>
      <w:r>
        <w:rPr>
          <w:rFonts w:ascii="Liberation Serif" w:hAnsi="Liberation Serif" w:cs="Liberation Serif"/>
          <w:sz w:val="28"/>
          <w:szCs w:val="28"/>
        </w:rPr>
        <w:lastRenderedPageBreak/>
        <w:t>образом, 1 рубль льготы обесп</w:t>
      </w:r>
      <w:r>
        <w:rPr>
          <w:rFonts w:ascii="Liberation Serif" w:hAnsi="Liberation Serif" w:cs="Liberation Serif"/>
          <w:sz w:val="28"/>
          <w:szCs w:val="28"/>
        </w:rPr>
        <w:t>ечен 3,6 рублями налоговых поступлений в бюджет и 1,4 рублями инвестиционных вложений.</w:t>
      </w:r>
    </w:p>
    <w:p w:rsidR="0073653C" w:rsidRDefault="00385DF1">
      <w:pPr>
        <w:autoSpaceDE w:val="0"/>
        <w:spacing w:before="120"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Резидентам особых экономических зон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сумма льготы в 2019 году по налогу на прибыль организаций составила 31 млн. рублей, воспользовались 3 организации. Бюджетная эфф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ективность составила 2,2 рубля.</w:t>
      </w:r>
    </w:p>
    <w:p w:rsidR="0073653C" w:rsidRDefault="00385DF1">
      <w:pPr>
        <w:autoSpaceDE w:val="0"/>
        <w:spacing w:after="12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 момента реализации инвестиционных проектов резидентами особой экономической зоны-получателями льготы (2017–2019 годы) создано 208 рабочих мест, привлечено инвестиций на сумму 5,85 млрд. рублей.</w:t>
      </w:r>
    </w:p>
    <w:p w:rsidR="0073653C" w:rsidRDefault="00385DF1">
      <w:pPr>
        <w:overflowPunct w:val="0"/>
        <w:autoSpaceDE w:val="0"/>
        <w:spacing w:before="120"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>
        <w:rPr>
          <w:rFonts w:ascii="Liberation Serif" w:hAnsi="Liberation Serif" w:cs="Liberation Serif"/>
          <w:b/>
          <w:i/>
          <w:sz w:val="28"/>
          <w:szCs w:val="28"/>
        </w:rPr>
        <w:t>Резидентам территорий о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пережающего социально-экономического развития </w:t>
      </w:r>
      <w:r>
        <w:rPr>
          <w:rFonts w:ascii="Liberation Serif" w:hAnsi="Liberation Serif" w:cs="Liberation Serif"/>
          <w:sz w:val="28"/>
          <w:szCs w:val="28"/>
        </w:rPr>
        <w:t>(далее – ТОСЭР) сумма льготы в 2019 году по налогу на прибыль организаций составила 129 тыс. рублей.</w:t>
      </w:r>
    </w:p>
    <w:p w:rsidR="0073653C" w:rsidRDefault="00385DF1">
      <w:pPr>
        <w:overflowPunct w:val="0"/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результате реализации инвестиционных проектов резидентами ТОСЭР: объем инвестиций составил 1,75 млрд. рубле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й, создано 344 рабочих места,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сумма выручки – 295,7 млн. рублей. В консолидированный бюджет Свердловской области в 2019 году от данной категории поступило налогов на сумму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hAnsi="Liberation Serif" w:cs="Liberation Serif"/>
          <w:sz w:val="28"/>
          <w:szCs w:val="28"/>
        </w:rPr>
        <w:t>12,6 млн. рублей.</w:t>
      </w:r>
    </w:p>
    <w:p w:rsidR="0073653C" w:rsidRDefault="00385DF1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Участникам специальных инвестиционных контрактов –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сумма льг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оты за 2019 год составила 320 млн. рублей (в том числе: по налогу на прибыль организаций – 188 млн. рублей, воспользовалась 1 организация, по налогу на имущество организаций – 132 млн. рублей, воспользовалась 1 организация.</w:t>
      </w:r>
    </w:p>
    <w:p w:rsidR="0073653C" w:rsidRDefault="00385DF1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Экономический эффект от применен</w:t>
      </w:r>
      <w:r>
        <w:rPr>
          <w:rFonts w:ascii="Liberation Serif" w:hAnsi="Liberation Serif" w:cs="Liberation Serif"/>
          <w:sz w:val="28"/>
          <w:szCs w:val="28"/>
        </w:rPr>
        <w:t>ия преференций обеспечен увеличением у получателей льготы прибыли на 27%, среднегодовой стоимости имущества на 5%. Привлечено инвестиций в объеме 440 млн. рублей. 1 рубль льготы обеспечен 17 рублями налоговых поступлений и 1,4 рублями инвестиционных вложен</w:t>
      </w:r>
      <w:r>
        <w:rPr>
          <w:rFonts w:ascii="Liberation Serif" w:hAnsi="Liberation Serif" w:cs="Liberation Serif"/>
          <w:sz w:val="28"/>
          <w:szCs w:val="28"/>
        </w:rPr>
        <w:t>ий.</w:t>
      </w:r>
    </w:p>
    <w:p w:rsidR="0073653C" w:rsidRDefault="00385DF1">
      <w:pPr>
        <w:spacing w:before="120"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Освобождение от уплаты налога на имущество организаций в отношении организаций, занимающихся производством, переработкой, хранением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сельскохозяйственной продукции</w:t>
      </w:r>
      <w:r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>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–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сумма льготы в 2019 году составила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389 млн. рублей, воспользовались 120 организаци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й.</w:t>
      </w:r>
    </w:p>
    <w:p w:rsidR="0073653C" w:rsidRDefault="00385DF1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Действующая норма способствует развитию агропромышленного комплекса и потребительского рынка региона и оказывает положительное влияние на прирост объема валовой продукции сельского хозяйства, так у получателей льготы выручка от реализации продукции выр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осла на 8%, объем отгруженной продукции – на 7%, прибыль – на 6%, среднегодовая стоимость основных средств – на 4%. 1 рубль льготы обеспечен 9 рублями налоговых поступлений.</w:t>
      </w:r>
    </w:p>
    <w:p w:rsidR="0073653C" w:rsidRDefault="00385DF1">
      <w:pPr>
        <w:spacing w:before="120"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Освобождение от уплаты налога на имущество организаций </w:t>
      </w:r>
      <w:r>
        <w:rPr>
          <w:rFonts w:ascii="Times New Roman" w:eastAsia="Calibri" w:hAnsi="Times New Roman"/>
          <w:sz w:val="28"/>
          <w:szCs w:val="28"/>
          <w:lang w:eastAsia="en-US"/>
        </w:rPr>
        <w:t>в отношении организаций,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предоставивших в пользование образовательным организациям объекты недвижимого имущества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 Правом на использование данной льготы воспользовалась 1 организация на сумму 4,3 млн. рублей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3653C" w:rsidRDefault="00385DF1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Данная льгота направлена </w:t>
      </w:r>
      <w:r>
        <w:rPr>
          <w:rFonts w:ascii="Liberation Serif" w:hAnsi="Liberation Serif" w:cs="Liberation Serif"/>
          <w:sz w:val="28"/>
          <w:szCs w:val="28"/>
        </w:rPr>
        <w:t xml:space="preserve">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повышение качества подготовки инженерных кад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ров и направлена на решение задачи по созданию условий, обеспечивающих возможность реализации права граждан на непрерывное образование по инженерно-техническим специальностям.</w:t>
      </w:r>
    </w:p>
    <w:p w:rsidR="0073653C" w:rsidRDefault="00385DF1">
      <w:pPr>
        <w:autoSpaceDE w:val="0"/>
        <w:spacing w:after="120" w:line="240" w:lineRule="auto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Социально-экономический эффект предоставления льготы обеспечен ростом у получат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еля льготы следующих показателей:</w:t>
      </w:r>
      <w: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затрат на медицинское обслуживание персонала и улучшение условий охраны труда – на 14%, выручки от реализации продукции и объема отгруженной продукции – на 11%, среднегодовой стоимости имущества – на 8%.</w:t>
      </w:r>
    </w:p>
    <w:p w:rsidR="0073653C" w:rsidRDefault="00385DF1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en-US"/>
        </w:rPr>
        <w:t>6) Освобождение от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уплаты налога на имущество организаций в отношении </w:t>
      </w:r>
      <w:r>
        <w:rPr>
          <w:rFonts w:ascii="Liberation Serif" w:hAnsi="Liberation Serif" w:cs="Liberation Serif"/>
          <w:b/>
          <w:i/>
          <w:sz w:val="28"/>
          <w:szCs w:val="28"/>
          <w:lang w:eastAsia="en-US"/>
        </w:rPr>
        <w:t>санаторно-курортных организаций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– сумма льготы 13,3 млн. рублей. Воспользовались 3 организации.</w:t>
      </w:r>
    </w:p>
    <w:p w:rsidR="0073653C" w:rsidRDefault="00385DF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Социально-экономический эффект льготы обеспечен выполнением условий ее предоставления, а также положительной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динамикой ряда показателей финансового-хозяйственной деятельности таких организаций. Так, на 1 рубль льготы приходится 1,3 рубля инвестиций в основной капитал, затраты на улучшение условий и охраны труда увеличились на 39%, среднемесячная заработная плата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работников списочного состава – на 18%, выручка – на 5%.</w:t>
      </w:r>
    </w:p>
    <w:p w:rsidR="0073653C" w:rsidRDefault="00385DF1">
      <w:pPr>
        <w:spacing w:after="12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Бюджетная эффективность достаточна: 1 рубль льготы обеспечен 2 рублями налоговых поступлений в бюджет.</w:t>
      </w:r>
    </w:p>
    <w:p w:rsidR="0073653C" w:rsidRDefault="00385DF1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7) Освобождение от уплаты налога на имущество организаций в отношении имущества, переданного в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пользование организациям, осуществляющим </w:t>
      </w:r>
      <w:r>
        <w:rPr>
          <w:rFonts w:ascii="Liberation Serif" w:hAnsi="Liberation Serif" w:cs="Liberation Serif"/>
          <w:b/>
          <w:i/>
          <w:sz w:val="28"/>
          <w:szCs w:val="28"/>
          <w:lang w:eastAsia="en-US"/>
        </w:rPr>
        <w:t>деятельность музеев</w:t>
      </w:r>
      <w:r>
        <w:rPr>
          <w:rFonts w:ascii="Liberation Serif" w:hAnsi="Liberation Serif" w:cs="Liberation Serif"/>
          <w:sz w:val="28"/>
          <w:szCs w:val="28"/>
          <w:lang w:eastAsia="en-US"/>
        </w:rPr>
        <w:t>.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  <w:lang w:eastAsia="en-US"/>
        </w:rPr>
        <w:t>Норма действует с 2019 года, сумма льготы составила 26,8 млн. рублей, воспользовалась 1 организация.</w:t>
      </w:r>
    </w:p>
    <w:p w:rsidR="0073653C" w:rsidRDefault="00385DF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остальные стимулирующие льготы приходится порядка 90 млн. рублей.</w:t>
      </w:r>
    </w:p>
    <w:p w:rsidR="0073653C" w:rsidRDefault="00385DF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целом эффективность с</w:t>
      </w:r>
      <w:r>
        <w:rPr>
          <w:rFonts w:ascii="Liberation Serif" w:hAnsi="Liberation Serif" w:cs="Liberation Serif"/>
          <w:sz w:val="28"/>
          <w:szCs w:val="28"/>
        </w:rPr>
        <w:t>тимулирующих налоговых льгот обусловлена реализацией крупных инфраструктурных проектов в регионе с объемом инвестиций 92 млрд. рублей, в результате которых создано порядка 2160 рабочих мест, а также ростом экономических показателей в 2019 году у получателе</w:t>
      </w:r>
      <w:r>
        <w:rPr>
          <w:rFonts w:ascii="Liberation Serif" w:hAnsi="Liberation Serif" w:cs="Liberation Serif"/>
          <w:sz w:val="28"/>
          <w:szCs w:val="28"/>
        </w:rPr>
        <w:t>й льгот таких как: прибыль до налогообложения – на 29%, объем товаров собственного производства – на 7%, среднегодовая стоимость имущества – на 6%. Кроме того, организациями-получателями льгот увеличены расходы на медицинское обслуживание – на 10%, трудоус</w:t>
      </w:r>
      <w:r>
        <w:rPr>
          <w:rFonts w:ascii="Liberation Serif" w:hAnsi="Liberation Serif" w:cs="Liberation Serif"/>
          <w:sz w:val="28"/>
          <w:szCs w:val="28"/>
        </w:rPr>
        <w:t>троено 1223 человека, нуждающихся в социальной защите (на 313 человек больше, чем в 2018 году).</w:t>
      </w:r>
    </w:p>
    <w:p w:rsidR="0073653C" w:rsidRDefault="00385DF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Совокупная бюджетная эффективность положительная: 1 рубль льготы обеспечен 9 рублями налоговых поступлений в бюджет.</w:t>
      </w:r>
    </w:p>
    <w:p w:rsidR="0073653C" w:rsidRDefault="00385DF1">
      <w:pPr>
        <w:spacing w:before="12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Доля</w:t>
      </w:r>
      <w:r>
        <w:rPr>
          <w:rFonts w:ascii="Liberation Serif" w:hAnsi="Liberation Serif" w:cs="Liberation Serif"/>
          <w:b/>
          <w:sz w:val="28"/>
          <w:szCs w:val="28"/>
        </w:rPr>
        <w:t xml:space="preserve"> социальных налоговых льгот,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направленных на поддержку отдельных категорий, составила 18%, или 837 млн. рублей, в том числе:</w:t>
      </w:r>
    </w:p>
    <w:p w:rsidR="0073653C" w:rsidRDefault="00385DF1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Освобождение от уплаты налога на имущество организаций в отношении организаций, осуществляющих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перевозку пассажиров метрополитеном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льгота составила 376 млн.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рублей (воспользовалась 1 организация). Норма направлена на стимулирование долгосрочных инвестиций на развитие инфраструктуры метрополитена.</w:t>
      </w:r>
    </w:p>
    <w:p w:rsidR="0073653C" w:rsidRDefault="00385DF1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Освобождение от уплаты налога на имущество организаций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 отношении объектов спорта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количеством мест не менее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пяти тысяч, льгота составила 77,8 млн. рублей (воспользовались 4 организации).</w:t>
      </w:r>
    </w:p>
    <w:p w:rsidR="0073653C" w:rsidRDefault="00385DF1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Освобождение от уплаты налога на имущество организаций по другим категориям налогоплательщиков в отношении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научных организаций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68 млн. рублей (воспользовались 29 организа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ции),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религиозных организаций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1,8 млн. рублей (воспользовались 11 организаций).</w:t>
      </w:r>
    </w:p>
    <w:p w:rsidR="0073653C" w:rsidRDefault="00385DF1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4) Освобождение по транспортному налогу в отношении организаций и граждан, на которых зарегистрированы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легковые автомобили с мощностью двигателя до 100 л.с.,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льгота составила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135 млн. рублей; в отношении 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социально незащищенных граждан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(пенсионеры, инвалиды; родители, воспитывающие ребенка инвалида, трех и более детей в возрасте до 18 лет, один из усыновителей, воспитывающий ребенка в возрасте до 18 лет) – 130 млн. рублей.</w:t>
      </w:r>
    </w:p>
    <w:p w:rsidR="0073653C" w:rsidRDefault="00385DF1">
      <w:pPr>
        <w:overflowPunct w:val="0"/>
        <w:autoSpaceDE w:val="0"/>
        <w:spacing w:before="12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</w:t>
      </w:r>
      <w:r>
        <w:rPr>
          <w:rFonts w:ascii="Liberation Serif" w:hAnsi="Liberation Serif" w:cs="Liberation Serif"/>
          <w:sz w:val="28"/>
          <w:szCs w:val="28"/>
        </w:rPr>
        <w:t>оля</w:t>
      </w:r>
      <w:r>
        <w:rPr>
          <w:rFonts w:ascii="Liberation Serif" w:hAnsi="Liberation Serif" w:cs="Liberation Serif"/>
          <w:b/>
          <w:sz w:val="28"/>
          <w:szCs w:val="28"/>
        </w:rPr>
        <w:t xml:space="preserve"> технических налоговых льгот</w:t>
      </w:r>
      <w:r>
        <w:rPr>
          <w:rFonts w:ascii="Liberation Serif" w:hAnsi="Liberation Serif" w:cs="Liberation Serif"/>
          <w:sz w:val="28"/>
          <w:szCs w:val="28"/>
        </w:rPr>
        <w:t>, направленных на устранение (уменьшение) встречных финансовых потоков, в общем объеме налоговых льгот за 2019 год составила 4%, или 208 млн. рублей.</w:t>
      </w:r>
    </w:p>
    <w:p w:rsidR="0073653C" w:rsidRDefault="00385DF1">
      <w:pPr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Основная сумма льготы приходится на освобождение от уплаты налога </w:t>
      </w:r>
      <w:r>
        <w:rPr>
          <w:rFonts w:ascii="Liberation Serif" w:hAnsi="Liberation Serif" w:cs="Liberation Serif"/>
          <w:sz w:val="28"/>
          <w:szCs w:val="28"/>
        </w:rPr>
        <w:t>на имущество и транспортного налога органов государственной власти и органов местного самоуправления муниципальных образований (200 млн. рублей).</w:t>
      </w:r>
    </w:p>
    <w:p w:rsidR="0073653C" w:rsidRDefault="0073653C">
      <w:pPr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73653C" w:rsidRDefault="00385DF1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b/>
          <w:bCs/>
          <w:iCs/>
          <w:sz w:val="28"/>
          <w:szCs w:val="28"/>
          <w:lang w:val="en-US" w:eastAsia="en-US"/>
        </w:rPr>
        <w:t>II</w:t>
      </w:r>
      <w:r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>.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>Специальные налоговые режимы</w:t>
      </w:r>
    </w:p>
    <w:p w:rsidR="0073653C" w:rsidRDefault="0073653C">
      <w:pPr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73653C" w:rsidRDefault="00385DF1">
      <w:pPr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Расчетная сумма налоговых преференций по применению специальных налоговых 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режимов составила 9,05 млрд. рублей, из них:</w:t>
      </w:r>
    </w:p>
    <w:p w:rsidR="0073653C" w:rsidRDefault="00385DF1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1) </w:t>
      </w:r>
      <w:r>
        <w:rPr>
          <w:rFonts w:ascii="Liberation Serif" w:eastAsia="Calibri" w:hAnsi="Liberation Serif" w:cs="Liberation Serif"/>
          <w:b/>
          <w:bCs/>
          <w:i/>
          <w:iCs/>
          <w:sz w:val="28"/>
          <w:szCs w:val="28"/>
          <w:lang w:eastAsia="en-US"/>
        </w:rPr>
        <w:t>По упрощенной системе налогообложения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действуют пониженные ставки по объекту «доходы, уменьшенные на величину расходов» (суммой преференций является разница между установленными ставками федеральным законодат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ельством в размере 15% и на региональном уровне – 5% в отношении 80% видов деятельности, предусмотренных ОКВЭД, и 7% для всех остальных видов деятельности).</w:t>
      </w:r>
    </w:p>
    <w:p w:rsidR="0073653C" w:rsidRDefault="00385DF1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Расчетная разница между установленными ставками федеральным законодательством и на региональном уро</w:t>
      </w:r>
      <w:r>
        <w:rPr>
          <w:rFonts w:ascii="Liberation Serif" w:hAnsi="Liberation Serif" w:cs="Liberation Serif"/>
          <w:sz w:val="28"/>
          <w:szCs w:val="28"/>
          <w:lang w:eastAsia="en-US"/>
        </w:rPr>
        <w:t>вне по вышеуказанной системе налогообложения в 2019 году составила 8,8 млрд. рублей, что на 19% больше, чем в 2018 году (7,4 млрд. рублей).</w:t>
      </w:r>
    </w:p>
    <w:p w:rsidR="0073653C" w:rsidRDefault="00385DF1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Кроме того, для впервые зарегистрированных индивидуальных предпринимателей действует ставка 0% («налоговые каникулы»</w:t>
      </w:r>
      <w:r>
        <w:rPr>
          <w:rFonts w:ascii="Liberation Serif" w:hAnsi="Liberation Serif" w:cs="Liberation Serif"/>
          <w:sz w:val="28"/>
          <w:szCs w:val="28"/>
          <w:lang w:eastAsia="en-US"/>
        </w:rPr>
        <w:t>). Расчетная разница между установленными ставками федеральным законодательством в размере 15% и на региональном уровне в размере 0% составила 196,1 млн. рублей, в том числе: по объекту «доходы» – 107,9 млн. рублей и объекту «доходы, уменьшенные на величин</w:t>
      </w:r>
      <w:r>
        <w:rPr>
          <w:rFonts w:ascii="Liberation Serif" w:hAnsi="Liberation Serif" w:cs="Liberation Serif"/>
          <w:sz w:val="28"/>
          <w:szCs w:val="28"/>
          <w:lang w:eastAsia="en-US"/>
        </w:rPr>
        <w:t>у расходов» – 88,2 млн. рублей.</w:t>
      </w:r>
    </w:p>
    <w:p w:rsidR="0073653C" w:rsidRDefault="00385DF1">
      <w:pPr>
        <w:overflowPunct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По итогам 2019 года совокупный доход налогоплательщиков применяющих упрощенную систему налогообложения, увеличился </w:t>
      </w:r>
      <w:r>
        <w:rPr>
          <w:rFonts w:ascii="Liberation Serif" w:hAnsi="Liberation Serif" w:cs="Liberation Serif"/>
          <w:sz w:val="28"/>
          <w:szCs w:val="28"/>
        </w:rPr>
        <w:t>на 12% (с 453,5 млрд. рублей до 510,1 млрд. рублей), сумма налога, уплаченного в бюджет, – на 15%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(с 12,9 до </w:t>
      </w:r>
      <w:r>
        <w:rPr>
          <w:rFonts w:ascii="Liberation Serif" w:hAnsi="Liberation Serif" w:cs="Liberation Serif"/>
          <w:sz w:val="28"/>
          <w:szCs w:val="28"/>
        </w:rPr>
        <w:t xml:space="preserve">14,8 млрд. рублей). Количество индивидуальных предпринимателей, применяющих упрощенную систему налогообложения, составило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129,8 тыс. человек.</w:t>
      </w:r>
    </w:p>
    <w:p w:rsidR="0073653C" w:rsidRDefault="00385DF1">
      <w:pPr>
        <w:overflowPunct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b/>
          <w:i/>
          <w:sz w:val="28"/>
          <w:szCs w:val="28"/>
        </w:rPr>
        <w:t>По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>патентной системе налогообложения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для впервые зарегистрированных индивидуальных предпринимателей действует </w:t>
      </w:r>
      <w:r>
        <w:rPr>
          <w:rFonts w:ascii="Liberation Serif" w:hAnsi="Liberation Serif" w:cs="Liberation Serif"/>
          <w:sz w:val="28"/>
          <w:szCs w:val="28"/>
        </w:rPr>
        <w:t>ставка 0%. Расчетная сумма выпадающих доходов равна 18 млн. рублей.</w:t>
      </w:r>
    </w:p>
    <w:p w:rsidR="0073653C" w:rsidRDefault="00385DF1">
      <w:pPr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Данная норма направлена на поддержку начинающих субъектов предпринимательства, характеризуется ежегодной динамикой роста.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Так, по сравнению с 2018 годом количество индивидуальных предприн</w:t>
      </w:r>
      <w:r>
        <w:rPr>
          <w:rFonts w:ascii="Liberation Serif" w:hAnsi="Liberation Serif" w:cs="Liberation Serif"/>
          <w:sz w:val="28"/>
          <w:szCs w:val="28"/>
        </w:rPr>
        <w:t xml:space="preserve">имателей, воспользовавшихся нормой, увеличилось на 16% (с 1432 до 1667 чел.), количество </w:t>
      </w:r>
      <w:r>
        <w:rPr>
          <w:rFonts w:ascii="Liberation Serif" w:hAnsi="Liberation Serif" w:cs="Liberation Serif"/>
          <w:sz w:val="28"/>
          <w:szCs w:val="28"/>
        </w:rPr>
        <w:lastRenderedPageBreak/>
        <w:t>выданных патентов – на 10% (с 13,3 тыс. единиц до 14,6 тыс. единиц), количество индивидуальных предпринимателей, применяющих патентную систему налогообложения увеличил</w:t>
      </w:r>
      <w:r>
        <w:rPr>
          <w:rFonts w:ascii="Liberation Serif" w:hAnsi="Liberation Serif" w:cs="Liberation Serif"/>
          <w:sz w:val="28"/>
          <w:szCs w:val="28"/>
        </w:rPr>
        <w:t>ось на 12% (с 10 139 человек до 11 376 человек).</w:t>
      </w:r>
    </w:p>
    <w:p w:rsidR="0073653C" w:rsidRDefault="00385DF1">
      <w:pPr>
        <w:overflowPunct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 по системе налогообложения для сельскохозяйственных товаропроизводителей (</w:t>
      </w:r>
      <w:r>
        <w:rPr>
          <w:rFonts w:ascii="Liberation Serif" w:hAnsi="Liberation Serif" w:cs="Liberation Serif"/>
          <w:b/>
          <w:i/>
          <w:sz w:val="28"/>
          <w:szCs w:val="28"/>
        </w:rPr>
        <w:t>единый сельскохозяйственный налог).</w:t>
      </w:r>
    </w:p>
    <w:p w:rsidR="0073653C" w:rsidRDefault="00385DF1">
      <w:pPr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поддержки сельскохозяйственных производителей с 2019 года в Свердловской области сниже</w:t>
      </w:r>
      <w:r>
        <w:rPr>
          <w:rFonts w:ascii="Liberation Serif" w:hAnsi="Liberation Serif" w:cs="Liberation Serif"/>
          <w:sz w:val="28"/>
          <w:szCs w:val="28"/>
        </w:rPr>
        <w:t xml:space="preserve">на ставка единого сельскохозяйственного налога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для всех плательщиков налога с 6 до 5%.</w:t>
      </w:r>
    </w:p>
    <w:p w:rsidR="0073653C" w:rsidRDefault="00385DF1">
      <w:pPr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Сумма налоговой преференции в 2019 году составила 11,7 млн. рублей, воспользовались 464 налогоплательщика.</w:t>
      </w:r>
    </w:p>
    <w:p w:rsidR="0073653C" w:rsidRDefault="00385DF1">
      <w:pPr>
        <w:overflowPunct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Социально-экономический эффект предоставления льготы обеспече</w:t>
      </w:r>
      <w:r>
        <w:rPr>
          <w:rFonts w:ascii="Liberation Serif" w:hAnsi="Liberation Serif" w:cs="Liberation Serif"/>
          <w:sz w:val="28"/>
          <w:szCs w:val="28"/>
        </w:rPr>
        <w:t>н ростом у получателей льготы следующих показателей: затрат на медицинское обслуживание персонала и улучшение условий охраны труда – на 11%, объема отгруженной продукции – на 9%, среднемесячной заработной платы работников списочного состава – на 4%, средне</w:t>
      </w:r>
      <w:r>
        <w:rPr>
          <w:rFonts w:ascii="Liberation Serif" w:hAnsi="Liberation Serif" w:cs="Liberation Serif"/>
          <w:sz w:val="28"/>
          <w:szCs w:val="28"/>
        </w:rPr>
        <w:t>годовой стоимости имущества – на 4%, выручки от реализации продукции – на 3%.</w:t>
      </w:r>
    </w:p>
    <w:p w:rsidR="0073653C" w:rsidRDefault="0073653C">
      <w:pPr>
        <w:overflowPunct w:val="0"/>
        <w:autoSpaceDE w:val="0"/>
        <w:spacing w:after="0" w:line="240" w:lineRule="auto"/>
        <w:ind w:firstLine="709"/>
        <w:jc w:val="both"/>
      </w:pPr>
    </w:p>
    <w:sectPr w:rsidR="0073653C">
      <w:headerReference w:type="default" r:id="rId6"/>
      <w:pgSz w:w="11906" w:h="16838"/>
      <w:pgMar w:top="709" w:right="567" w:bottom="3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F1" w:rsidRDefault="00385DF1">
      <w:pPr>
        <w:spacing w:after="0" w:line="240" w:lineRule="auto"/>
      </w:pPr>
      <w:r>
        <w:separator/>
      </w:r>
    </w:p>
  </w:endnote>
  <w:endnote w:type="continuationSeparator" w:id="0">
    <w:p w:rsidR="00385DF1" w:rsidRDefault="0038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F1" w:rsidRDefault="00385D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5DF1" w:rsidRDefault="0038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30" w:rsidRDefault="00385DF1">
    <w:pPr>
      <w:pStyle w:val="a4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8C5227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132830" w:rsidRDefault="00385D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653C"/>
    <w:rsid w:val="00385DF1"/>
    <w:rsid w:val="0073653C"/>
    <w:rsid w:val="008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7A547-BB44-49B7-9E52-43246B7A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 Paragraph"/>
    <w:basedOn w:val="a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a6">
    <w:name w:val="Balloon Text"/>
    <w:basedOn w:val="a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7">
    <w:name w:val="footnote text"/>
    <w:basedOn w:val="a"/>
    <w:pPr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FontStyle11">
    <w:name w:val="Font Style11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a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b">
    <w:name w:val="Текст сноски Знак"/>
    <w:basedOn w:val="a0"/>
    <w:rPr>
      <w:sz w:val="20"/>
      <w:szCs w:val="20"/>
    </w:rPr>
  </w:style>
  <w:style w:type="character" w:styleId="ac">
    <w:name w:val="footnote reference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aleksandrovskaya</dc:creator>
  <cp:lastModifiedBy>Голышев Владислав Владимирович</cp:lastModifiedBy>
  <cp:revision>2</cp:revision>
  <cp:lastPrinted>2020-11-06T07:56:00Z</cp:lastPrinted>
  <dcterms:created xsi:type="dcterms:W3CDTF">2020-11-09T12:45:00Z</dcterms:created>
  <dcterms:modified xsi:type="dcterms:W3CDTF">2020-11-09T12:45:00Z</dcterms:modified>
</cp:coreProperties>
</file>