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EE" w:rsidRDefault="00323F24">
      <w:pPr>
        <w:spacing w:after="0"/>
        <w:ind w:left="5387" w:firstLine="0"/>
        <w:jc w:val="left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Приложение к письму</w:t>
      </w:r>
    </w:p>
    <w:p w:rsidR="001332EE" w:rsidRDefault="00323F24">
      <w:pPr>
        <w:spacing w:after="0"/>
        <w:ind w:left="5387" w:firstLine="0"/>
        <w:jc w:val="left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от _________ № _____________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1332EE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1332EE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323F24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ОСНОВНЫЕ ИТОГИ СОЦИАЛЬНО-ЭКОНОМИЧЕСКОГО РАЗВИТИЯ СВЕРДЛОВСКОЙ ОБЛАСТИ В ЯНВАРЕ-АПРЕЛЕ 2020 ГОДА</w:t>
      </w:r>
    </w:p>
    <w:p w:rsidR="001332EE" w:rsidRDefault="001332EE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323F24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Промышленность</w:t>
      </w:r>
    </w:p>
    <w:p w:rsidR="001332EE" w:rsidRDefault="001332EE">
      <w:pPr>
        <w:spacing w:after="0" w:line="228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  <w:shd w:val="clear" w:color="auto" w:fill="FFFF00"/>
          <w:lang w:val="ru-RU"/>
        </w:rPr>
      </w:pP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Индекс промышленного производства по полному кругу организаций,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по данным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Свердловскстата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>, в январе-апреле 2020 года составил 106,5% к уровню января-апреля 2019 года.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По видам деятельности индексы производства в январе-апреле 2020 года </w:t>
      </w:r>
      <w:r>
        <w:rPr>
          <w:rFonts w:ascii="Liberation Serif" w:hAnsi="Liberation Serif" w:cs="Liberation Serif"/>
          <w:szCs w:val="28"/>
          <w:lang w:val="ru-RU"/>
        </w:rPr>
        <w:br/>
        <w:t>к уровню января-апреля 2019 года составили: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обрабатывающие производства – 108,6%, 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обеспечение электрической энергией, газом и паром – 98,7%,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добыча полезных ископаемых – 102,5% (диаграмма 1).</w:t>
      </w:r>
    </w:p>
    <w:p w:rsidR="001332EE" w:rsidRDefault="001332EE">
      <w:pPr>
        <w:spacing w:after="0"/>
        <w:rPr>
          <w:rFonts w:ascii="Liberation Serif" w:hAnsi="Liberation Serif" w:cs="Liberation Serif"/>
          <w:szCs w:val="28"/>
          <w:lang w:val="ru-RU"/>
        </w:rPr>
      </w:pPr>
    </w:p>
    <w:p w:rsidR="001332EE" w:rsidRDefault="00323F24">
      <w:pPr>
        <w:spacing w:after="0" w:line="228" w:lineRule="auto"/>
        <w:jc w:val="right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Диаграмма 1</w:t>
      </w:r>
    </w:p>
    <w:p w:rsidR="001332EE" w:rsidRDefault="001332EE">
      <w:pPr>
        <w:spacing w:after="0" w:line="228" w:lineRule="auto"/>
        <w:jc w:val="right"/>
        <w:rPr>
          <w:rFonts w:ascii="Liberation Serif" w:hAnsi="Liberation Serif" w:cs="Liberation Serif"/>
          <w:sz w:val="16"/>
          <w:szCs w:val="16"/>
          <w:lang w:val="ru-RU"/>
        </w:rPr>
      </w:pPr>
    </w:p>
    <w:p w:rsidR="001332EE" w:rsidRDefault="00323F24">
      <w:pPr>
        <w:spacing w:after="0" w:line="228" w:lineRule="auto"/>
        <w:ind w:firstLine="0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Индексы производства по видам экономической</w:t>
      </w:r>
      <w:r>
        <w:rPr>
          <w:rFonts w:ascii="Liberation Serif" w:hAnsi="Liberation Serif" w:cs="Liberation Serif"/>
          <w:szCs w:val="28"/>
          <w:lang w:val="ru-RU"/>
        </w:rPr>
        <w:br/>
        <w:t>деятельности в январе-апреле 2020 года</w:t>
      </w:r>
    </w:p>
    <w:p w:rsidR="001332EE" w:rsidRDefault="00323F24">
      <w:pPr>
        <w:spacing w:after="0" w:line="228" w:lineRule="auto"/>
        <w:ind w:firstLine="0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(в процентах к январю-апрелю 2019 года)</w:t>
      </w:r>
    </w:p>
    <w:p w:rsidR="001332EE" w:rsidRDefault="00323F24">
      <w:pPr>
        <w:widowControl w:val="0"/>
        <w:spacing w:after="0" w:line="228" w:lineRule="auto"/>
        <w:ind w:firstLine="0"/>
        <w:jc w:val="center"/>
      </w:pPr>
      <w:r>
        <w:rPr>
          <w:rFonts w:ascii="Liberation Serif" w:hAnsi="Liberation Serif" w:cs="Liberation Serif"/>
          <w:noProof/>
          <w:szCs w:val="28"/>
          <w:lang w:val="ru-RU" w:eastAsia="ru-RU" w:bidi="ar-SA"/>
        </w:rPr>
        <w:drawing>
          <wp:inline distT="0" distB="0" distL="0" distR="0">
            <wp:extent cx="5969002" cy="1564008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Среди обрабатывающих производств значительный рост физических объемов производства наблюдается в производстве лекарственных средств и материалов, применяемых в медицинских целях – в 1,6 раза к уровню </w:t>
      </w:r>
      <w:r>
        <w:rPr>
          <w:rFonts w:ascii="Liberation Serif" w:hAnsi="Liberation Serif" w:cs="Liberation Serif"/>
          <w:szCs w:val="28"/>
          <w:lang w:val="ru-RU"/>
        </w:rPr>
        <w:br/>
        <w:t>января-апреля 2019 года, прочих транспортных средств и оборудования – в 1,5 раза, машин и оборудования, не включенных в другие группировки, – на 12,8%.</w:t>
      </w:r>
    </w:p>
    <w:p w:rsidR="001332EE" w:rsidRPr="00323F24" w:rsidRDefault="00323F24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В ведущей отрасли промышленности – металлургическом производстве индекс производства составил 106,6% к уровню января-апреля 2019 года.</w:t>
      </w:r>
      <w:r>
        <w:rPr>
          <w:rFonts w:ascii="Liberation Serif" w:hAnsi="Liberation Serif" w:cs="Liberation Serif"/>
          <w:szCs w:val="28"/>
          <w:shd w:val="clear" w:color="auto" w:fill="FFFF00"/>
          <w:lang w:val="ru-RU"/>
        </w:rPr>
        <w:t xml:space="preserve"> </w:t>
      </w:r>
    </w:p>
    <w:p w:rsidR="0055726F" w:rsidRPr="0055726F" w:rsidRDefault="0055726F" w:rsidP="0055726F">
      <w:pPr>
        <w:shd w:val="clear" w:color="auto" w:fill="FFFFFF"/>
        <w:suppressAutoHyphens w:val="0"/>
        <w:autoSpaceDN/>
        <w:spacing w:after="0"/>
        <w:textAlignment w:val="auto"/>
        <w:rPr>
          <w:rFonts w:ascii="Calibri" w:hAnsi="Calibri" w:cs="Calibri"/>
          <w:color w:val="000000"/>
          <w:sz w:val="24"/>
          <w:szCs w:val="24"/>
          <w:lang w:val="ru-RU" w:eastAsia="ru-RU" w:bidi="ar-SA"/>
        </w:rPr>
      </w:pP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 xml:space="preserve">Объем отгруженной промышленной продукции по полному кругу </w:t>
      </w:r>
      <w:r w:rsidR="00552893">
        <w:rPr>
          <w:rFonts w:ascii="Liberation Serif" w:hAnsi="Liberation Serif" w:cs="Calibri"/>
          <w:color w:val="000000"/>
          <w:szCs w:val="28"/>
          <w:lang w:val="ru-RU" w:eastAsia="ru-RU" w:bidi="ar-SA"/>
        </w:rPr>
        <w:br/>
      </w: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>организаций Свердловской области в ян</w:t>
      </w:r>
      <w:r w:rsidR="00552893">
        <w:rPr>
          <w:rFonts w:ascii="Liberation Serif" w:hAnsi="Liberation Serif" w:cs="Calibri"/>
          <w:color w:val="000000"/>
          <w:szCs w:val="28"/>
          <w:lang w:val="ru-RU" w:eastAsia="ru-RU" w:bidi="ar-SA"/>
        </w:rPr>
        <w:t>варе-апреле 2020 года составил </w:t>
      </w:r>
      <w:r w:rsidR="00552893">
        <w:rPr>
          <w:rFonts w:ascii="Liberation Serif" w:hAnsi="Liberation Serif" w:cs="Calibri"/>
          <w:color w:val="000000"/>
          <w:szCs w:val="28"/>
          <w:lang w:val="ru-RU" w:eastAsia="ru-RU" w:bidi="ar-SA"/>
        </w:rPr>
        <w:br/>
      </w: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>732,1 млрд. рублей, или 97,9% к уровню января-апреля 2019 года в действующих ценах, в том числе:</w:t>
      </w:r>
    </w:p>
    <w:p w:rsidR="0055726F" w:rsidRPr="0055726F" w:rsidRDefault="0055726F" w:rsidP="0055726F">
      <w:pPr>
        <w:shd w:val="clear" w:color="auto" w:fill="FFFFFF"/>
        <w:suppressAutoHyphens w:val="0"/>
        <w:autoSpaceDN/>
        <w:spacing w:after="0"/>
        <w:textAlignment w:val="auto"/>
        <w:rPr>
          <w:rFonts w:ascii="Calibri" w:hAnsi="Calibri" w:cs="Calibri"/>
          <w:color w:val="000000"/>
          <w:sz w:val="24"/>
          <w:szCs w:val="24"/>
          <w:lang w:val="ru-RU" w:eastAsia="ru-RU" w:bidi="ar-SA"/>
        </w:rPr>
      </w:pP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>обрабатывающие производства – 599,5 млрд. рублей, или 100,1% к уровню января-апреля 2019 года,</w:t>
      </w:r>
    </w:p>
    <w:p w:rsidR="0055726F" w:rsidRPr="0055726F" w:rsidRDefault="0055726F" w:rsidP="0055726F">
      <w:pPr>
        <w:shd w:val="clear" w:color="auto" w:fill="FFFFFF"/>
        <w:suppressAutoHyphens w:val="0"/>
        <w:autoSpaceDN/>
        <w:spacing w:after="0"/>
        <w:textAlignment w:val="auto"/>
        <w:rPr>
          <w:rFonts w:ascii="Calibri" w:hAnsi="Calibri" w:cs="Calibri"/>
          <w:color w:val="000000"/>
          <w:sz w:val="24"/>
          <w:szCs w:val="24"/>
          <w:lang w:val="ru-RU" w:eastAsia="ru-RU" w:bidi="ar-SA"/>
        </w:rPr>
      </w:pP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 xml:space="preserve">обеспечение электрической энергией, газом и паром – 88,2 млрд. рублей, </w:t>
      </w:r>
      <w:r w:rsidR="00552893">
        <w:rPr>
          <w:rFonts w:ascii="Liberation Serif" w:hAnsi="Liberation Serif" w:cs="Calibri"/>
          <w:color w:val="000000"/>
          <w:szCs w:val="28"/>
          <w:lang w:val="ru-RU" w:eastAsia="ru-RU" w:bidi="ar-SA"/>
        </w:rPr>
        <w:br/>
      </w:r>
      <w:bookmarkStart w:id="0" w:name="_GoBack"/>
      <w:bookmarkEnd w:id="0"/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t>или 88,9%,</w:t>
      </w:r>
    </w:p>
    <w:p w:rsidR="0055726F" w:rsidRPr="0055726F" w:rsidRDefault="0055726F" w:rsidP="0055726F">
      <w:pPr>
        <w:shd w:val="clear" w:color="auto" w:fill="FFFFFF"/>
        <w:suppressAutoHyphens w:val="0"/>
        <w:autoSpaceDN/>
        <w:spacing w:after="0"/>
        <w:textAlignment w:val="auto"/>
        <w:rPr>
          <w:rFonts w:ascii="Calibri" w:hAnsi="Calibri" w:cs="Calibri"/>
          <w:color w:val="000000"/>
          <w:sz w:val="24"/>
          <w:szCs w:val="24"/>
          <w:lang w:val="ru-RU" w:eastAsia="ru-RU" w:bidi="ar-SA"/>
        </w:rPr>
      </w:pPr>
      <w:r w:rsidRPr="0055726F">
        <w:rPr>
          <w:rFonts w:ascii="Liberation Serif" w:hAnsi="Liberation Serif" w:cs="Calibri"/>
          <w:color w:val="000000"/>
          <w:szCs w:val="28"/>
          <w:lang w:val="ru-RU" w:eastAsia="ru-RU" w:bidi="ar-SA"/>
        </w:rPr>
        <w:lastRenderedPageBreak/>
        <w:t>добыча полезных ископаемых – 24,1 млрд. рублей, или 81,1%.</w:t>
      </w: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Строительство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Объем работ, выполненных собственными силами по виду деятельности «строительство», в январе-апреле 2020 года составил 57,4 млрд. рублей, </w:t>
      </w:r>
      <w:r>
        <w:rPr>
          <w:rFonts w:ascii="Liberation Serif" w:hAnsi="Liberation Serif" w:cs="Liberation Serif"/>
          <w:szCs w:val="28"/>
          <w:lang w:val="ru-RU"/>
        </w:rPr>
        <w:br/>
        <w:t>или 102,8% к уровню января-апреля 2019 года в сопоставимых ценах.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Жилищное строительство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Pr="00B43A18" w:rsidRDefault="00323F24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По данным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Свердловскстата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, в январе-апреле 2020 года за счет всех источников финансирования введены в эксплуатацию жилые дома общей площадью 436 тыс. кв. метров, или 101,8% к уровню января-апреля 2019 года </w:t>
      </w:r>
      <w:r>
        <w:rPr>
          <w:rFonts w:ascii="Liberation Serif" w:hAnsi="Liberation Serif" w:cs="Liberation Serif"/>
          <w:szCs w:val="28"/>
          <w:lang w:val="ru-RU"/>
        </w:rPr>
        <w:br/>
      </w:r>
      <w:r w:rsidRPr="00BB1001">
        <w:rPr>
          <w:rFonts w:ascii="Liberation Serif" w:hAnsi="Liberation Serif" w:cs="Liberation Serif"/>
          <w:szCs w:val="28"/>
          <w:lang w:val="ru-RU"/>
        </w:rPr>
        <w:t>(4</w:t>
      </w:r>
      <w:r>
        <w:rPr>
          <w:rFonts w:ascii="Liberation Serif" w:hAnsi="Liberation Serif" w:cs="Liberation Serif"/>
          <w:szCs w:val="28"/>
          <w:lang w:val="ru-RU"/>
        </w:rPr>
        <w:t xml:space="preserve">93,9 тыс. кв. метров с учетом жилых домов, построенных населением </w:t>
      </w:r>
      <w:r>
        <w:rPr>
          <w:rFonts w:ascii="Liberation Serif" w:hAnsi="Liberation Serif" w:cs="Liberation Serif"/>
          <w:szCs w:val="28"/>
          <w:lang w:val="ru-RU"/>
        </w:rPr>
        <w:br/>
        <w:t>на земельных участках, предназначенных для ведения садоводства) (диаграмма 2).</w:t>
      </w:r>
    </w:p>
    <w:p w:rsidR="001332EE" w:rsidRDefault="001332EE">
      <w:pPr>
        <w:spacing w:after="0" w:line="228" w:lineRule="auto"/>
        <w:jc w:val="right"/>
        <w:rPr>
          <w:rFonts w:ascii="Liberation Serif" w:hAnsi="Liberation Serif" w:cs="Liberation Serif"/>
          <w:i/>
          <w:szCs w:val="28"/>
          <w:lang w:val="ru-RU"/>
        </w:rPr>
      </w:pPr>
    </w:p>
    <w:p w:rsidR="00F16641" w:rsidRPr="00C31FC4" w:rsidRDefault="00F16641" w:rsidP="00F16641">
      <w:pPr>
        <w:spacing w:after="0" w:line="235" w:lineRule="auto"/>
        <w:jc w:val="right"/>
        <w:rPr>
          <w:rFonts w:ascii="Liberation Serif" w:hAnsi="Liberation Serif" w:cs="Liberation Serif"/>
          <w:szCs w:val="28"/>
          <w:lang w:val="ru-RU"/>
        </w:rPr>
      </w:pPr>
      <w:r w:rsidRPr="00C31FC4">
        <w:rPr>
          <w:rFonts w:ascii="Liberation Serif" w:hAnsi="Liberation Serif" w:cs="Liberation Serif"/>
          <w:szCs w:val="28"/>
          <w:lang w:val="ru-RU"/>
        </w:rPr>
        <w:t>Диаграмма 2</w:t>
      </w:r>
    </w:p>
    <w:p w:rsidR="00F16641" w:rsidRPr="001F4FEB" w:rsidRDefault="00F16641" w:rsidP="00F16641">
      <w:pPr>
        <w:spacing w:after="0" w:line="235" w:lineRule="auto"/>
        <w:jc w:val="right"/>
        <w:rPr>
          <w:rFonts w:ascii="Liberation Serif" w:hAnsi="Liberation Serif" w:cs="Liberation Serif"/>
          <w:sz w:val="16"/>
          <w:szCs w:val="16"/>
          <w:highlight w:val="yellow"/>
          <w:lang w:val="ru-RU"/>
        </w:rPr>
      </w:pPr>
    </w:p>
    <w:p w:rsidR="00F16641" w:rsidRPr="00C31FC4" w:rsidRDefault="00F16641" w:rsidP="00F16641">
      <w:pPr>
        <w:spacing w:after="0" w:line="235" w:lineRule="auto"/>
        <w:ind w:firstLine="0"/>
        <w:jc w:val="center"/>
        <w:rPr>
          <w:rFonts w:ascii="Liberation Serif" w:hAnsi="Liberation Serif" w:cs="Liberation Serif"/>
          <w:i/>
          <w:szCs w:val="28"/>
          <w:lang w:val="ru-RU"/>
        </w:rPr>
      </w:pPr>
      <w:r w:rsidRPr="00C31FC4">
        <w:rPr>
          <w:rFonts w:ascii="Liberation Serif" w:hAnsi="Liberation Serif" w:cs="Liberation Serif"/>
          <w:b/>
          <w:noProof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58C597AF" wp14:editId="2F5903C5">
            <wp:simplePos x="0" y="0"/>
            <wp:positionH relativeFrom="page">
              <wp:posOffset>1476375</wp:posOffset>
            </wp:positionH>
            <wp:positionV relativeFrom="paragraph">
              <wp:posOffset>266700</wp:posOffset>
            </wp:positionV>
            <wp:extent cx="5038725" cy="1600200"/>
            <wp:effectExtent l="0" t="0" r="0" b="0"/>
            <wp:wrapTopAndBottom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FC4">
        <w:rPr>
          <w:rFonts w:ascii="Liberation Serif" w:hAnsi="Liberation Serif" w:cs="Liberation Serif"/>
          <w:szCs w:val="28"/>
          <w:lang w:val="ru-RU"/>
        </w:rPr>
        <w:t xml:space="preserve">Ввод жилья в Свердловской области, </w:t>
      </w:r>
      <w:r w:rsidRPr="00C31FC4">
        <w:rPr>
          <w:rFonts w:ascii="Liberation Serif" w:hAnsi="Liberation Serif" w:cs="Liberation Serif"/>
          <w:i/>
          <w:szCs w:val="28"/>
          <w:lang w:val="ru-RU"/>
        </w:rPr>
        <w:t>тыс. кв. м</w:t>
      </w:r>
    </w:p>
    <w:p w:rsidR="00F16641" w:rsidRPr="001F4FEB" w:rsidRDefault="00F16641" w:rsidP="00F16641">
      <w:pPr>
        <w:spacing w:after="0" w:line="235" w:lineRule="auto"/>
        <w:rPr>
          <w:rFonts w:ascii="Liberation Serif" w:hAnsi="Liberation Serif" w:cs="Liberation Serif"/>
          <w:szCs w:val="28"/>
          <w:highlight w:val="yellow"/>
          <w:lang w:val="ru-RU"/>
        </w:rPr>
      </w:pPr>
    </w:p>
    <w:p w:rsidR="005F42C8" w:rsidRPr="005F42C8" w:rsidRDefault="005F42C8" w:rsidP="005F42C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5F42C8">
        <w:rPr>
          <w:rFonts w:ascii="Liberation Serif" w:hAnsi="Liberation Serif" w:cs="Liberation Serif"/>
          <w:szCs w:val="28"/>
          <w:lang w:val="ru-RU"/>
        </w:rPr>
        <w:t xml:space="preserve">Индивидуальными застройщиками построено 239,3 тыс. кв. </w:t>
      </w:r>
      <w:proofErr w:type="gramStart"/>
      <w:r w:rsidRPr="005F42C8">
        <w:rPr>
          <w:rFonts w:ascii="Liberation Serif" w:hAnsi="Liberation Serif" w:cs="Liberation Serif"/>
          <w:szCs w:val="28"/>
          <w:lang w:val="ru-RU"/>
        </w:rPr>
        <w:t>метров  введенного</w:t>
      </w:r>
      <w:proofErr w:type="gramEnd"/>
      <w:r w:rsidRPr="005F42C8">
        <w:rPr>
          <w:rFonts w:ascii="Liberation Serif" w:hAnsi="Liberation Serif" w:cs="Liberation Serif"/>
          <w:szCs w:val="28"/>
          <w:lang w:val="ru-RU"/>
        </w:rPr>
        <w:t xml:space="preserve"> жилья (54,9% от общего объёма введенного жилья), или 84,9% </w:t>
      </w:r>
      <w:r w:rsidRPr="005F42C8">
        <w:rPr>
          <w:rFonts w:ascii="Liberation Serif" w:hAnsi="Liberation Serif" w:cs="Liberation Serif"/>
          <w:szCs w:val="28"/>
          <w:lang w:val="ru-RU"/>
        </w:rPr>
        <w:br/>
        <w:t xml:space="preserve">к уровню января-апреля 2019 года (297,2 тыс. кв. метров с учетом жилых домов, построенных населением на земельных участках, предназначенных для ведения садоводства). 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shd w:val="clear" w:color="auto" w:fill="FFFF00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Автомобильный транспорт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sz w:val="16"/>
          <w:szCs w:val="16"/>
          <w:shd w:val="clear" w:color="auto" w:fill="FFFF00"/>
          <w:lang w:val="ru-RU"/>
        </w:rPr>
      </w:pPr>
    </w:p>
    <w:p w:rsidR="001332EE" w:rsidRPr="00323F24" w:rsidRDefault="00323F24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Грузооборот автомобильного транспорта (по кругу крупных и средних организаций) в январе-апреле 2020 года составил 1711,3 млн.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тонно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-км, или 123,9%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к уровню января-апреля 2019 года. 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Автомобильным транспортом (по кругу крупных и средних организаций) в январе-апреле 2020 года перевезено 10,2 млн. тонн грузов, что составляет 106,3% </w:t>
      </w:r>
      <w:r>
        <w:rPr>
          <w:rFonts w:ascii="Liberation Serif" w:hAnsi="Liberation Serif" w:cs="Liberation Serif"/>
          <w:szCs w:val="28"/>
          <w:lang w:val="ru-RU"/>
        </w:rPr>
        <w:br/>
        <w:t>к уровню января-апреля 2019 года.</w:t>
      </w: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1332EE">
      <w:pPr>
        <w:spacing w:after="0"/>
        <w:rPr>
          <w:rFonts w:ascii="Liberation Serif" w:hAnsi="Liberation Serif" w:cs="Liberation Serif"/>
          <w:szCs w:val="28"/>
          <w:shd w:val="clear" w:color="auto" w:fill="FFFF00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lastRenderedPageBreak/>
        <w:t>Потребительский рынок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Оборот розничной торговли в Свердловской области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в январе-апреле 2020 года составил, по данным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Свердловскстата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, 371,1 млрд. рублей, или 97,9% в сопоставимых ценах к уровню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января-апреля 2019 года (диаграмма 3). </w:t>
      </w:r>
    </w:p>
    <w:p w:rsidR="001332EE" w:rsidRDefault="001332EE">
      <w:pPr>
        <w:spacing w:after="0"/>
        <w:jc w:val="right"/>
        <w:rPr>
          <w:rFonts w:ascii="Liberation Serif" w:hAnsi="Liberation Serif" w:cs="Liberation Serif"/>
          <w:i/>
          <w:szCs w:val="28"/>
          <w:lang w:val="ru-RU"/>
        </w:rPr>
      </w:pPr>
    </w:p>
    <w:p w:rsidR="001332EE" w:rsidRDefault="00323F24">
      <w:pPr>
        <w:spacing w:after="0"/>
        <w:jc w:val="right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Диаграмма 3</w:t>
      </w:r>
    </w:p>
    <w:p w:rsidR="001332EE" w:rsidRDefault="001332EE">
      <w:pPr>
        <w:spacing w:after="0" w:line="228" w:lineRule="auto"/>
        <w:ind w:firstLine="0"/>
        <w:jc w:val="center"/>
        <w:rPr>
          <w:rFonts w:ascii="Liberation Serif" w:hAnsi="Liberation Serif" w:cs="Liberation Serif"/>
          <w:sz w:val="16"/>
          <w:szCs w:val="16"/>
          <w:lang w:val="ru-RU"/>
        </w:rPr>
      </w:pPr>
    </w:p>
    <w:p w:rsidR="0059072F" w:rsidRPr="00566D46" w:rsidRDefault="0059072F" w:rsidP="0059072F">
      <w:pPr>
        <w:spacing w:after="0" w:line="235" w:lineRule="auto"/>
        <w:ind w:firstLine="0"/>
        <w:jc w:val="center"/>
        <w:rPr>
          <w:rFonts w:ascii="Liberation Serif" w:hAnsi="Liberation Serif" w:cs="Liberation Serif"/>
          <w:szCs w:val="28"/>
          <w:lang w:val="ru-RU"/>
        </w:rPr>
      </w:pPr>
      <w:r w:rsidRPr="00566D46">
        <w:rPr>
          <w:rFonts w:ascii="Liberation Serif" w:hAnsi="Liberation Serif" w:cs="Liberation Serif"/>
          <w:szCs w:val="28"/>
          <w:lang w:val="ru-RU"/>
        </w:rPr>
        <w:t xml:space="preserve">Оборот розничной торговли Свердловской области, </w:t>
      </w:r>
      <w:r w:rsidRPr="00566D46">
        <w:rPr>
          <w:rFonts w:ascii="Liberation Serif" w:hAnsi="Liberation Serif" w:cs="Liberation Serif"/>
          <w:i/>
          <w:szCs w:val="28"/>
          <w:lang w:val="ru-RU"/>
        </w:rPr>
        <w:t>млрд. рублей</w:t>
      </w:r>
    </w:p>
    <w:p w:rsidR="0059072F" w:rsidRPr="00566D46" w:rsidRDefault="0059072F" w:rsidP="0059072F">
      <w:pPr>
        <w:spacing w:after="0" w:line="235" w:lineRule="auto"/>
        <w:ind w:firstLine="0"/>
        <w:jc w:val="center"/>
        <w:rPr>
          <w:rFonts w:ascii="Liberation Serif" w:hAnsi="Liberation Serif" w:cs="Liberation Serif"/>
          <w:szCs w:val="28"/>
          <w:lang w:val="ru-RU"/>
        </w:rPr>
      </w:pPr>
      <w:r w:rsidRPr="00566D46">
        <w:rPr>
          <w:rFonts w:ascii="Liberation Serif" w:hAnsi="Liberation Serif" w:cs="Liberation Serif"/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308B1" wp14:editId="45712D3E">
                <wp:simplePos x="0" y="0"/>
                <wp:positionH relativeFrom="column">
                  <wp:posOffset>2719070</wp:posOffset>
                </wp:positionH>
                <wp:positionV relativeFrom="paragraph">
                  <wp:posOffset>132715</wp:posOffset>
                </wp:positionV>
                <wp:extent cx="10191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72F" w:rsidRPr="00765632" w:rsidRDefault="0059072F" w:rsidP="0059072F">
                            <w:pPr>
                              <w:ind w:firstLine="0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  <w:lang w:val="ru-RU"/>
                              </w:rPr>
                              <w:t>-2,1</w:t>
                            </w:r>
                            <w:r w:rsidRPr="00765632">
                              <w:rPr>
                                <w:rFonts w:ascii="Liberation Serif" w:hAnsi="Liberation Serif"/>
                                <w:sz w:val="24"/>
                                <w:szCs w:val="24"/>
                                <w:lang w:val="ru-RU"/>
                              </w:rPr>
                              <w:t>%*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308B1" id="Прямоугольник 11" o:spid="_x0000_s1026" style="position:absolute;left:0;text-align:left;margin-left:214.1pt;margin-top:10.45pt;width:8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" fillcolor="window" strokecolor="windowText" strokeweight="1pt">
                <v:textbox>
                  <w:txbxContent>
                    <w:p w:rsidR="0059072F" w:rsidRPr="00765632" w:rsidRDefault="0059072F" w:rsidP="0059072F">
                      <w:pPr>
                        <w:ind w:firstLine="0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  <w:lang w:val="ru-RU"/>
                        </w:rPr>
                        <w:t>-2,1</w:t>
                      </w:r>
                      <w:r w:rsidRPr="00765632">
                        <w:rPr>
                          <w:rFonts w:ascii="Liberation Serif" w:hAnsi="Liberation Serif"/>
                          <w:sz w:val="24"/>
                          <w:szCs w:val="24"/>
                          <w:lang w:val="ru-RU"/>
                        </w:rPr>
                        <w:t>%*</w:t>
                      </w:r>
                    </w:p>
                  </w:txbxContent>
                </v:textbox>
              </v:rect>
            </w:pict>
          </mc:Fallback>
        </mc:AlternateContent>
      </w:r>
    </w:p>
    <w:p w:rsidR="0059072F" w:rsidRPr="00566D46" w:rsidRDefault="0059072F" w:rsidP="0059072F">
      <w:pPr>
        <w:spacing w:after="0" w:line="235" w:lineRule="auto"/>
        <w:ind w:firstLine="0"/>
        <w:jc w:val="center"/>
        <w:rPr>
          <w:rFonts w:ascii="Liberation Serif" w:hAnsi="Liberation Serif" w:cs="Liberation Serif"/>
          <w:sz w:val="20"/>
          <w:szCs w:val="20"/>
          <w:lang w:val="ru-RU"/>
        </w:rPr>
      </w:pPr>
      <w:r w:rsidRPr="00566D46">
        <w:rPr>
          <w:rFonts w:ascii="Liberation Serif" w:hAnsi="Liberation Serif" w:cs="Liberation Serif"/>
          <w:noProof/>
          <w:color w:val="000000" w:themeColor="text1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16D2E" wp14:editId="60264664">
                <wp:simplePos x="0" y="0"/>
                <wp:positionH relativeFrom="column">
                  <wp:posOffset>1983447</wp:posOffset>
                </wp:positionH>
                <wp:positionV relativeFrom="paragraph">
                  <wp:posOffset>14047</wp:posOffset>
                </wp:positionV>
                <wp:extent cx="10048" cy="311499"/>
                <wp:effectExtent l="0" t="0" r="28575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3114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66F4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1pt" to="15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Pr="00566D46">
        <w:rPr>
          <w:rFonts w:ascii="Liberation Serif" w:hAnsi="Liberation Serif" w:cs="Liberation Serif"/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4B83" wp14:editId="10C8AA9F">
                <wp:simplePos x="0" y="0"/>
                <wp:positionH relativeFrom="column">
                  <wp:posOffset>1985010</wp:posOffset>
                </wp:positionH>
                <wp:positionV relativeFrom="paragraph">
                  <wp:posOffset>0</wp:posOffset>
                </wp:positionV>
                <wp:extent cx="25050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DAC7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0" to="3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"/>
            </w:pict>
          </mc:Fallback>
        </mc:AlternateContent>
      </w:r>
      <w:r w:rsidRPr="00566D46">
        <w:rPr>
          <w:rFonts w:ascii="Liberation Serif" w:hAnsi="Liberation Serif" w:cs="Liberation Serif"/>
          <w:noProof/>
          <w:szCs w:val="28"/>
          <w:lang w:val="ru-RU" w:eastAsia="ru-RU" w:bidi="ar-SA"/>
        </w:rPr>
        <w:drawing>
          <wp:inline distT="0" distB="0" distL="0" distR="0" wp14:anchorId="7D465AEB" wp14:editId="0F1ADC50">
            <wp:extent cx="5274945" cy="1206394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72F" w:rsidRPr="00566D46" w:rsidRDefault="0059072F" w:rsidP="0059072F">
      <w:pPr>
        <w:pStyle w:val="a9"/>
        <w:spacing w:after="0" w:line="235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  <w:r w:rsidRPr="00566D46">
        <w:rPr>
          <w:rFonts w:ascii="Liberation Serif" w:hAnsi="Liberation Serif" w:cs="Liberation Serif"/>
          <w:i/>
          <w:sz w:val="24"/>
          <w:szCs w:val="24"/>
        </w:rPr>
        <w:t>* в сопоставимых ценах</w:t>
      </w:r>
    </w:p>
    <w:p w:rsidR="0059072F" w:rsidRDefault="0059072F">
      <w:pPr>
        <w:spacing w:after="0"/>
        <w:rPr>
          <w:rFonts w:ascii="Liberation Serif" w:hAnsi="Liberation Serif" w:cs="Liberation Serif"/>
          <w:szCs w:val="28"/>
          <w:lang w:val="ru-RU"/>
        </w:rPr>
      </w:pPr>
    </w:p>
    <w:p w:rsidR="001332EE" w:rsidRPr="00323F24" w:rsidRDefault="00323F24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Объем продаж пищевых продуктов, включая напитки, и табачных изделий снизился на 0,2% в сопоставимых ценах к уровню января-апреля 2019 года и составил 186,2 млрд. рублей, объем продаж непродовольственных товаров – на 4% в сопоставимых ценах к уровню января-апреля 2019 года и составил 184,9 млрд.</w:t>
      </w:r>
      <w:r>
        <w:rPr>
          <w:rFonts w:ascii="Liberation Serif" w:hAnsi="Liberation Serif" w:cs="Liberation Serif"/>
          <w:szCs w:val="28"/>
        </w:rPr>
        <w:t> </w:t>
      </w:r>
      <w:r>
        <w:rPr>
          <w:rFonts w:ascii="Liberation Serif" w:hAnsi="Liberation Serif" w:cs="Liberation Serif"/>
          <w:szCs w:val="28"/>
          <w:lang w:val="ru-RU"/>
        </w:rPr>
        <w:t>рублей.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Оборот общественного питания в январе-апреле 2020 года сложился в сумме 14,3 млрд. рублей, что в сопоставимых ценах составляет 84,3% к уровню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января-апреля 2019 года. 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Рынок труда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323F24">
      <w:pPr>
        <w:pStyle w:val="xmsonormal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t>Численность безработных, официально зарегистрированных в органах службы занятости, на 01 мая 2020 года составила 38 756 человек (на 01.05.2019 – 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br/>
        <w:t>27 161 человек).</w:t>
      </w:r>
    </w:p>
    <w:p w:rsidR="001332EE" w:rsidRDefault="00323F24">
      <w:pPr>
        <w:pStyle w:val="xmsonormal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t>Уровень регистрируемой безработицы на 01 мая 2020 года составил 1,83% (на 01.05.2019 – 1,27%).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shd w:val="clear" w:color="auto" w:fill="FFFF00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По статистическим данным за январь-март 2020 года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323F24">
      <w:pPr>
        <w:spacing w:after="0"/>
        <w:jc w:val="center"/>
        <w:rPr>
          <w:rFonts w:ascii="Liberation Serif" w:hAnsi="Liberation Serif" w:cs="Liberation Serif"/>
          <w:b/>
          <w:bCs/>
          <w:szCs w:val="28"/>
          <w:lang w:val="ru-RU"/>
        </w:rPr>
      </w:pPr>
      <w:r>
        <w:rPr>
          <w:rFonts w:ascii="Liberation Serif" w:hAnsi="Liberation Serif" w:cs="Liberation Serif"/>
          <w:b/>
          <w:bCs/>
          <w:szCs w:val="28"/>
          <w:lang w:val="ru-RU"/>
        </w:rPr>
        <w:t>Сельское хозяйство</w:t>
      </w:r>
    </w:p>
    <w:p w:rsidR="001332EE" w:rsidRDefault="001332EE">
      <w:pPr>
        <w:spacing w:after="0"/>
        <w:rPr>
          <w:rFonts w:ascii="Liberation Serif" w:hAnsi="Liberation Serif" w:cs="Liberation Serif"/>
          <w:b/>
          <w:bCs/>
          <w:sz w:val="16"/>
          <w:szCs w:val="16"/>
          <w:lang w:val="ru-RU"/>
        </w:rPr>
      </w:pP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Индекс производства продукции сельского хозяйства, произведенной хозяйствами всех категорий, в январе-марте 2020 года составил 107,3% </w:t>
      </w:r>
      <w:r>
        <w:rPr>
          <w:rFonts w:ascii="Liberation Serif" w:hAnsi="Liberation Serif" w:cs="Liberation Serif"/>
          <w:szCs w:val="28"/>
          <w:lang w:val="ru-RU"/>
        </w:rPr>
        <w:br/>
        <w:t xml:space="preserve">к уровню января-марта 2019 года в сопоставимых ценах. </w:t>
      </w:r>
    </w:p>
    <w:p w:rsidR="001332EE" w:rsidRDefault="00323F2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В январе-марте 2020 года в хозяйствах всех категорий увеличилось производство мяса скота и птицы на убой (в живом весе) – на 10,5% к уровню января-марта 2019 года, производство молока – на 5,8%, снизилось производство яиц – на 2,9% к уровню января-марта 2019 года. 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shd w:val="clear" w:color="auto" w:fill="FFFF00"/>
          <w:lang w:val="ru-RU"/>
        </w:rPr>
      </w:pPr>
    </w:p>
    <w:p w:rsidR="001332EE" w:rsidRDefault="00323F24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lastRenderedPageBreak/>
        <w:t>Заработная плата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shd w:val="clear" w:color="auto" w:fill="FFFF00"/>
          <w:lang w:val="ru-RU"/>
        </w:rPr>
      </w:pPr>
    </w:p>
    <w:p w:rsidR="001332EE" w:rsidRDefault="00323F24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>
        <w:rPr>
          <w:rFonts w:ascii="Liberation Serif" w:eastAsia="Calibri" w:hAnsi="Liberation Serif"/>
          <w:szCs w:val="28"/>
          <w:lang w:val="ru-RU" w:bidi="ar-SA"/>
        </w:rPr>
        <w:t xml:space="preserve">В январе-марте 2020 года среднемесячная заработная плата одного работника по полному кругу организаций Свердловской области, по данным </w:t>
      </w:r>
      <w:proofErr w:type="spellStart"/>
      <w:r>
        <w:rPr>
          <w:rFonts w:ascii="Liberation Serif" w:eastAsia="Calibri" w:hAnsi="Liberation Serif"/>
          <w:szCs w:val="28"/>
          <w:lang w:val="ru-RU" w:bidi="ar-SA"/>
        </w:rPr>
        <w:t>Свердловскстата</w:t>
      </w:r>
      <w:proofErr w:type="spellEnd"/>
      <w:r>
        <w:rPr>
          <w:rFonts w:ascii="Liberation Serif" w:eastAsia="Calibri" w:hAnsi="Liberation Serif"/>
          <w:szCs w:val="28"/>
          <w:lang w:val="ru-RU" w:bidi="ar-SA"/>
        </w:rPr>
        <w:t xml:space="preserve">, составила 41 366,6 рубля (107,8% к уровню января-марта </w:t>
      </w:r>
      <w:r>
        <w:rPr>
          <w:rFonts w:ascii="Liberation Serif" w:eastAsia="Calibri" w:hAnsi="Liberation Serif"/>
          <w:szCs w:val="28"/>
          <w:lang w:val="ru-RU" w:bidi="ar-SA"/>
        </w:rPr>
        <w:br/>
        <w:t xml:space="preserve">2019 года). </w:t>
      </w:r>
    </w:p>
    <w:p w:rsidR="001332EE" w:rsidRDefault="00323F24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>
        <w:rPr>
          <w:rFonts w:ascii="Liberation Serif" w:eastAsia="Calibri" w:hAnsi="Liberation Serif"/>
          <w:szCs w:val="28"/>
          <w:lang w:val="ru-RU" w:bidi="ar-SA"/>
        </w:rPr>
        <w:t>Заработная плата работников крупных и средних организаций Свердловской области в указанном периоде составила 45 809,7 рубля.</w:t>
      </w:r>
    </w:p>
    <w:p w:rsidR="001332EE" w:rsidRDefault="00323F24">
      <w:pPr>
        <w:widowControl w:val="0"/>
        <w:spacing w:after="0"/>
        <w:ind w:firstLine="708"/>
        <w:rPr>
          <w:rFonts w:ascii="Liberation Serif" w:eastAsia="Calibri" w:hAnsi="Liberation Serif"/>
          <w:szCs w:val="28"/>
          <w:lang w:val="ru-RU" w:bidi="ar-SA"/>
        </w:rPr>
      </w:pPr>
      <w:r>
        <w:rPr>
          <w:rFonts w:ascii="Liberation Serif" w:eastAsia="Calibri" w:hAnsi="Liberation Serif"/>
          <w:szCs w:val="28"/>
          <w:lang w:val="ru-RU" w:bidi="ar-SA"/>
        </w:rPr>
        <w:t xml:space="preserve">Высокий уровень оплаты труда отмечен в организациях, осуществляющих деятельность в области информации и связи (превышение </w:t>
      </w:r>
      <w:proofErr w:type="spellStart"/>
      <w:r>
        <w:rPr>
          <w:rFonts w:ascii="Liberation Serif" w:eastAsia="Calibri" w:hAnsi="Liberation Serif"/>
          <w:szCs w:val="28"/>
          <w:lang w:val="ru-RU" w:bidi="ar-SA"/>
        </w:rPr>
        <w:t>среднеобластного</w:t>
      </w:r>
      <w:proofErr w:type="spellEnd"/>
      <w:r>
        <w:rPr>
          <w:rFonts w:ascii="Liberation Serif" w:eastAsia="Calibri" w:hAnsi="Liberation Serif"/>
          <w:szCs w:val="28"/>
          <w:lang w:val="ru-RU" w:bidi="ar-SA"/>
        </w:rPr>
        <w:t xml:space="preserve"> значения на 45%), в производстве компьютеров, электронных и оптических изделий (на 32%), в металлургическом производстве (на 29%), в производстве напитков (на 18%), в обеспечении электрической энергией, газом и паром (на 15%), в производстве химических веществ и химических продуктов (на 14%), в сфере добычи полезных ископаемых (на 12%), в производстве машин и оборудования </w:t>
      </w:r>
      <w:r>
        <w:rPr>
          <w:rFonts w:ascii="Liberation Serif" w:eastAsia="Calibri" w:hAnsi="Liberation Serif"/>
          <w:szCs w:val="28"/>
          <w:lang w:val="ru-RU" w:bidi="ar-SA"/>
        </w:rPr>
        <w:br/>
        <w:t>(на 11%) и ряде других.</w:t>
      </w:r>
    </w:p>
    <w:p w:rsidR="001332EE" w:rsidRDefault="00323F24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>
        <w:rPr>
          <w:rFonts w:ascii="Liberation Serif" w:eastAsia="Calibri" w:hAnsi="Liberation Serif"/>
          <w:szCs w:val="28"/>
          <w:lang w:val="ru-RU" w:bidi="ar-SA"/>
        </w:rPr>
        <w:t>Наиболее высокие темпы роста заработной платы в Свердловской области отмечаются в организациях по производству химических веществ и химических продуктов (116,8% к уровню января-марта 2019 года), производству прочих транспортных средств и оборудования (110,7%), по производству лекарственных средств и материалов, применяемых в медицинских целях (110,4%), в сельском, лесном хозяйстве, охоте и рыболовстве (110%), по производству компьютеров, электронных и оптических изделий (109,5%), оптовая и розничная торговля (108,9%), в области информации и связи (108,8%) и др.</w:t>
      </w:r>
    </w:p>
    <w:p w:rsidR="001332EE" w:rsidRDefault="001332EE">
      <w:pPr>
        <w:tabs>
          <w:tab w:val="left" w:pos="3885"/>
        </w:tabs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323F24">
      <w:pPr>
        <w:tabs>
          <w:tab w:val="left" w:pos="3885"/>
        </w:tabs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Демографическая ситуация</w:t>
      </w:r>
    </w:p>
    <w:p w:rsidR="001332EE" w:rsidRDefault="001332EE">
      <w:pPr>
        <w:tabs>
          <w:tab w:val="left" w:pos="3885"/>
        </w:tabs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323F24">
      <w:pPr>
        <w:snapToGrid w:val="0"/>
        <w:spacing w:after="0"/>
        <w:ind w:firstLine="708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Демографическая ситуация в Свердловской области </w:t>
      </w:r>
      <w:r>
        <w:rPr>
          <w:rFonts w:ascii="Liberation Serif" w:hAnsi="Liberation Serif" w:cs="Liberation Serif"/>
          <w:szCs w:val="28"/>
          <w:lang w:val="ru-RU"/>
        </w:rPr>
        <w:br/>
        <w:t>в январе-марте 2020 года, по оперативным данным, характеризуется следующими данными:</w:t>
      </w:r>
    </w:p>
    <w:p w:rsidR="001332EE" w:rsidRDefault="00323F24">
      <w:pPr>
        <w:snapToGrid w:val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родилось 10,5 тыс. детей (92,3% к уровню января-марта 2019 года);</w:t>
      </w:r>
    </w:p>
    <w:p w:rsidR="001332EE" w:rsidRDefault="00323F24">
      <w:pPr>
        <w:snapToGrid w:val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умерло 14,8 тыс. человек (96,1% к уровню января-марта 2019 года). </w:t>
      </w:r>
    </w:p>
    <w:p w:rsidR="001332EE" w:rsidRPr="00323F24" w:rsidRDefault="00323F24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Естественная убыль населения составила 4,3 тыс. человек.</w:t>
      </w: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1332EE" w:rsidRDefault="001332EE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1332EE" w:rsidRDefault="001332EE">
      <w:pPr>
        <w:spacing w:after="0"/>
        <w:rPr>
          <w:rFonts w:ascii="Liberation Serif" w:hAnsi="Liberation Serif" w:cs="Liberation Serif"/>
          <w:szCs w:val="28"/>
          <w:lang w:val="ru-RU"/>
        </w:rPr>
      </w:pPr>
    </w:p>
    <w:sectPr w:rsidR="001332EE">
      <w:headerReference w:type="default" r:id="rId9"/>
      <w:pgSz w:w="11906" w:h="16838"/>
      <w:pgMar w:top="1134" w:right="567" w:bottom="1049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8" w:rsidRDefault="00323F24">
      <w:pPr>
        <w:spacing w:after="0"/>
      </w:pPr>
      <w:r>
        <w:separator/>
      </w:r>
    </w:p>
  </w:endnote>
  <w:endnote w:type="continuationSeparator" w:id="0">
    <w:p w:rsidR="008D1E18" w:rsidRDefault="00323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8" w:rsidRDefault="00323F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D1E18" w:rsidRDefault="00323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8F" w:rsidRDefault="00323F24">
    <w:pPr>
      <w:pStyle w:val="a3"/>
      <w:ind w:firstLine="0"/>
      <w:jc w:val="center"/>
    </w:pPr>
    <w:r>
      <w:rPr>
        <w:rFonts w:ascii="Liberation Serif" w:hAnsi="Liberation Serif" w:cs="Liberation Serif"/>
        <w:szCs w:val="28"/>
        <w:lang w:val="ru-RU"/>
      </w:rPr>
      <w:fldChar w:fldCharType="begin"/>
    </w:r>
    <w:r>
      <w:rPr>
        <w:rFonts w:ascii="Liberation Serif" w:hAnsi="Liberation Serif" w:cs="Liberation Serif"/>
        <w:szCs w:val="28"/>
        <w:lang w:val="ru-RU"/>
      </w:rPr>
      <w:instrText xml:space="preserve"> PAGE </w:instrText>
    </w:r>
    <w:r>
      <w:rPr>
        <w:rFonts w:ascii="Liberation Serif" w:hAnsi="Liberation Serif" w:cs="Liberation Serif"/>
        <w:szCs w:val="28"/>
        <w:lang w:val="ru-RU"/>
      </w:rPr>
      <w:fldChar w:fldCharType="separate"/>
    </w:r>
    <w:r w:rsidR="00552893">
      <w:rPr>
        <w:rFonts w:ascii="Liberation Serif" w:hAnsi="Liberation Serif" w:cs="Liberation Serif"/>
        <w:noProof/>
        <w:szCs w:val="28"/>
        <w:lang w:val="ru-RU"/>
      </w:rPr>
      <w:t>4</w:t>
    </w:r>
    <w:r>
      <w:rPr>
        <w:rFonts w:ascii="Liberation Serif" w:hAnsi="Liberation Serif" w:cs="Liberation Serif"/>
        <w:szCs w:val="28"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E"/>
    <w:rsid w:val="001332EE"/>
    <w:rsid w:val="00323F24"/>
    <w:rsid w:val="00552893"/>
    <w:rsid w:val="0055726F"/>
    <w:rsid w:val="0059072F"/>
    <w:rsid w:val="005F42C8"/>
    <w:rsid w:val="007B78C8"/>
    <w:rsid w:val="008D1E18"/>
    <w:rsid w:val="00B43A18"/>
    <w:rsid w:val="00B45CAC"/>
    <w:rsid w:val="00BB1001"/>
    <w:rsid w:val="00BF0E3F"/>
    <w:rsid w:val="00C970A0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C41B-54C2-47CD-8FDF-353960D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20"/>
      <w:ind w:firstLine="709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pPr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8"/>
      <w:lang w:val="en-US" w:bidi="en-US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8"/>
      <w:lang w:val="en-US" w:bidi="en-US"/>
    </w:rPr>
  </w:style>
  <w:style w:type="paragraph" w:styleId="a7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26282F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Pr>
      <w:rFonts w:ascii="Tahoma" w:hAnsi="Tahoma" w:cs="Tahoma"/>
      <w:sz w:val="18"/>
      <w:szCs w:val="18"/>
    </w:rPr>
  </w:style>
  <w:style w:type="character" w:customStyle="1" w:styleId="kcdialogtitlewhite1">
    <w:name w:val="kcdialogtitlewhite1"/>
    <w:basedOn w:val="a0"/>
    <w:rPr>
      <w:rFonts w:ascii="Tahoma" w:hAnsi="Tahoma" w:cs="Tahoma"/>
      <w:color w:val="FFFFFF"/>
      <w:sz w:val="18"/>
      <w:szCs w:val="18"/>
    </w:rPr>
  </w:style>
  <w:style w:type="paragraph" w:styleId="a9">
    <w:name w:val="List Paragraph"/>
    <w:basedOn w:val="a"/>
    <w:uiPriority w:val="34"/>
    <w:qFormat/>
    <w:pPr>
      <w:widowControl w:val="0"/>
      <w:spacing w:after="200" w:line="276" w:lineRule="auto"/>
      <w:ind w:left="720"/>
    </w:pPr>
    <w:rPr>
      <w:rFonts w:ascii="Calibri" w:hAnsi="Calibri"/>
      <w:szCs w:val="28"/>
      <w:lang w:val="ru-RU" w:eastAsia="ru-RU" w:bidi="ar-SA"/>
    </w:rPr>
  </w:style>
  <w:style w:type="paragraph" w:styleId="aa">
    <w:name w:val="Body Text Indent"/>
    <w:basedOn w:val="a"/>
    <w:pPr>
      <w:autoSpaceDE w:val="0"/>
      <w:ind w:left="283" w:firstLine="0"/>
      <w:jc w:val="left"/>
    </w:pPr>
    <w:rPr>
      <w:szCs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pPr>
      <w:spacing w:after="432" w:line="336" w:lineRule="atLeast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ad">
    <w:name w:val="Заголовок для Ирины"/>
    <w:basedOn w:val="a"/>
    <w:next w:val="a"/>
    <w:pPr>
      <w:widowControl w:val="0"/>
      <w:spacing w:after="0" w:line="288" w:lineRule="auto"/>
      <w:jc w:val="center"/>
    </w:pPr>
    <w:rPr>
      <w:rFonts w:ascii="Cambria" w:eastAsia="Calibri" w:hAnsi="Cambria"/>
      <w:b/>
      <w:caps/>
      <w:szCs w:val="28"/>
      <w:lang w:val="ru-RU" w:bidi="ar-SA"/>
    </w:rPr>
  </w:style>
  <w:style w:type="paragraph" w:styleId="3">
    <w:name w:val="Body Text 3"/>
    <w:basedOn w:val="a"/>
    <w:rPr>
      <w:sz w:val="16"/>
      <w:szCs w:val="16"/>
    </w:rPr>
  </w:style>
  <w:style w:type="character" w:customStyle="1" w:styleId="30">
    <w:name w:val="Основной текст 3 Знак"/>
    <w:basedOn w:val="a0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customStyle="1" w:styleId="Style13">
    <w:name w:val="Style13"/>
    <w:basedOn w:val="a"/>
    <w:pPr>
      <w:widowControl w:val="0"/>
      <w:autoSpaceDE w:val="0"/>
      <w:spacing w:after="0" w:line="322" w:lineRule="exact"/>
      <w:ind w:firstLine="715"/>
    </w:pPr>
    <w:rPr>
      <w:sz w:val="24"/>
      <w:szCs w:val="24"/>
      <w:lang w:val="ru-RU" w:eastAsia="ru-RU" w:bidi="ar-SA"/>
    </w:rPr>
  </w:style>
  <w:style w:type="character" w:customStyle="1" w:styleId="FontStyle205">
    <w:name w:val="Font Style205"/>
    <w:rPr>
      <w:rFonts w:ascii="Times New Roman" w:hAnsi="Times New Roman" w:cs="Times New Roman"/>
      <w:sz w:val="26"/>
      <w:szCs w:val="26"/>
    </w:rPr>
  </w:style>
  <w:style w:type="paragraph" w:customStyle="1" w:styleId="xmsonormal">
    <w:name w:val="x_msonormal"/>
    <w:basedOn w:val="a"/>
    <w:pPr>
      <w:spacing w:before="100" w:after="100"/>
      <w:ind w:firstLine="0"/>
      <w:jc w:val="left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1111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1122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"/>
          <c:y val="0"/>
          <c:w val="0.9792841346959289"/>
          <c:h val="0.84488988206559446"/>
        </c:manualLayout>
      </c:layout>
      <c:barChart>
        <c:barDir val="col"/>
        <c:grouping val="clustered"/>
        <c:varyColors val="0"/>
        <c:ser>
          <c:idx val="0"/>
          <c:order val="0"/>
          <c:tx>
            <c:v>Российская Федерация</c:v>
          </c:tx>
          <c:spPr>
            <a:solidFill>
              <a:srgbClr val="8EB4E3">
                <a:alpha val="45000"/>
              </a:srgbClr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0" i="0" u="none" strike="noStrike" kern="1200" baseline="0">
                    <a:solidFill>
                      <a:srgbClr val="000000"/>
                    </a:solidFill>
                    <a:latin typeface="Liberation Serif" pitchFamily="18"/>
                    <a:ea typeface="Liberation Serif" pitchFamily="18"/>
                    <a:cs typeface="Liberation Serif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strLit>
              <c:ptCount val="4"/>
              <c:pt idx="0">
                <c:v>Промышленность, всего</c:v>
              </c:pt>
              <c:pt idx="1">
                <c:v>Добыча полезных ископаемых</c:v>
              </c:pt>
              <c:pt idx="2">
                <c:v>Обрабатывающие производства</c:v>
              </c:pt>
              <c:pt idx="3">
                <c:v>Обеспечение электрической энергией, газом и паром</c:v>
              </c:pt>
            </c:strLit>
          </c:cat>
          <c:val>
            <c:numLit>
              <c:formatCode>General</c:formatCode>
              <c:ptCount val="4"/>
              <c:pt idx="0">
                <c:v>99.4</c:v>
              </c:pt>
              <c:pt idx="1">
                <c:v>99.2</c:v>
              </c:pt>
              <c:pt idx="2">
                <c:v>100.1</c:v>
              </c:pt>
              <c:pt idx="3">
                <c:v>97.7</c:v>
              </c:pt>
            </c:numLit>
          </c:val>
        </c:ser>
        <c:ser>
          <c:idx val="1"/>
          <c:order val="1"/>
          <c:tx>
            <c:v>Свердловская область</c:v>
          </c:tx>
          <c:spPr>
            <a:solidFill>
              <a:srgbClr val="0070C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0" i="0" u="none" strike="noStrike" kern="1200" baseline="0">
                    <a:solidFill>
                      <a:srgbClr val="000000"/>
                    </a:solidFill>
                    <a:latin typeface="Liberation Serif" pitchFamily="18"/>
                    <a:cs typeface="Times New Roman" pitchFamily="18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strLit>
              <c:ptCount val="4"/>
              <c:pt idx="0">
                <c:v>Промышленность, всего</c:v>
              </c:pt>
              <c:pt idx="1">
                <c:v>Добыча полезных ископаемых</c:v>
              </c:pt>
              <c:pt idx="2">
                <c:v>Обрабатывающие производства</c:v>
              </c:pt>
              <c:pt idx="3">
                <c:v>Обеспечение электрической энергией, газом и паром</c:v>
              </c:pt>
            </c:strLit>
          </c:cat>
          <c:val>
            <c:numLit>
              <c:formatCode>General</c:formatCode>
              <c:ptCount val="4"/>
              <c:pt idx="0">
                <c:v>106.5</c:v>
              </c:pt>
              <c:pt idx="1">
                <c:v>102.5</c:v>
              </c:pt>
              <c:pt idx="2">
                <c:v>108.6</c:v>
              </c:pt>
              <c:pt idx="3">
                <c:v>98.7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axId val="271296720"/>
        <c:axId val="172407816"/>
      </c:barChart>
      <c:valAx>
        <c:axId val="172407816"/>
        <c:scaling>
          <c:orientation val="minMax"/>
          <c:max val="160"/>
          <c:min val="20"/>
        </c:scaling>
        <c:delete val="1"/>
        <c:axPos val="l"/>
        <c:numFmt formatCode="0.0" sourceLinked="0"/>
        <c:majorTickMark val="out"/>
        <c:minorTickMark val="none"/>
        <c:tickLblPos val="nextTo"/>
        <c:crossAx val="271296720"/>
        <c:crosses val="autoZero"/>
        <c:crossBetween val="between"/>
      </c:valAx>
      <c:catAx>
        <c:axId val="27129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22229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50" b="0" i="0" u="none" strike="noStrike" kern="1200" baseline="0">
                <a:solidFill>
                  <a:srgbClr val="000000"/>
                </a:solidFill>
                <a:latin typeface="Liberation Serif" pitchFamily="18"/>
                <a:cs typeface="Times New Roman" pitchFamily="18"/>
              </a:defRPr>
            </a:pPr>
            <a:endParaRPr lang="ru-RU"/>
          </a:p>
        </c:txPr>
        <c:crossAx val="17240781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6981152621879711"/>
          <c:y val="0.81880364832593244"/>
          <c:w val="0.72490651700452324"/>
          <c:h val="0.18119507290577719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200" b="0" i="0" u="none" strike="noStrike" kern="1200" baseline="0">
              <a:solidFill>
                <a:srgbClr val="000000"/>
              </a:solidFill>
              <a:latin typeface="Liberation Serif" pitchFamily="18"/>
              <a:cs typeface="Times New Roman" pitchFamily="18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400" b="0" i="0" u="none" strike="noStrike" kern="1200" baseline="0">
          <a:solidFill>
            <a:srgbClr val="000000"/>
          </a:solidFill>
          <a:latin typeface="Times New Roman" pitchFamily="18"/>
          <a:cs typeface="Times New Roman" pitchFamily="18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826017494505056E-2"/>
          <c:y val="1.3282089738782652E-2"/>
          <c:w val="0.89835901876827517"/>
          <c:h val="0.625406824146981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ИЖС</c:v>
                </c:pt>
              </c:strCache>
            </c:strRef>
          </c:tx>
          <c:spPr>
            <a:solidFill>
              <a:srgbClr val="0070C0"/>
            </a:solidFill>
            <a:ln w="9525"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0" baseline="0">
                        <a:solidFill>
                          <a:schemeClr val="bg1"/>
                        </a:solidFill>
                        <a:latin typeface="Liberation Serif" panose="02020603050405020304" pitchFamily="18" charset="0"/>
                      </a:defRPr>
                    </a:pPr>
                    <a:r>
                      <a:rPr lang="en-US" b="0" baseline="0">
                        <a:latin typeface="Liberation Serif" panose="02020603050405020304" pitchFamily="18" charset="0"/>
                      </a:rPr>
                      <a:t>281,8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0" baseline="0">
                        <a:solidFill>
                          <a:schemeClr val="bg1"/>
                        </a:solidFill>
                        <a:latin typeface="Liberation Serif" panose="02020603050405020304" pitchFamily="18" charset="0"/>
                      </a:defRPr>
                    </a:pPr>
                    <a:r>
                      <a:rPr lang="en-US" b="0" baseline="0">
                        <a:latin typeface="Liberation Serif" panose="02020603050405020304" pitchFamily="18" charset="0"/>
                      </a:rPr>
                      <a:t>239,3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baseline="0">
                    <a:latin typeface="Liberation Serif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январь-апрель 2019 года</c:v>
                </c:pt>
                <c:pt idx="1">
                  <c:v>январь-апрель 2020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422.70000000000005</c:v>
                </c:pt>
                <c:pt idx="1">
                  <c:v>358.95000000000005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многоквартирное строительство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9525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7484581913083171E-4"/>
                  <c:y val="-0.1846094238220222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0" baseline="0">
                        <a:latin typeface="Liberation Serif" panose="02020603050405020304" pitchFamily="18" charset="0"/>
                      </a:defRPr>
                    </a:pPr>
                    <a:r>
                      <a:rPr lang="en-US" sz="1200" b="0" baseline="0">
                        <a:latin typeface="Liberation Serif" panose="02020603050405020304" pitchFamily="18" charset="0"/>
                      </a:rPr>
                      <a:t>428,4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20307716733896"/>
                      <c:h val="0.170897062524718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6059816719507419E-3"/>
                  <c:y val="-0.1862015226784872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0" baseline="0">
                        <a:latin typeface="Liberation Serif" panose="02020603050405020304" pitchFamily="18" charset="0"/>
                      </a:defRPr>
                    </a:pPr>
                    <a:r>
                      <a:rPr lang="en-US" sz="1200" b="0" baseline="0">
                        <a:latin typeface="Liberation Serif" panose="02020603050405020304" pitchFamily="18" charset="0"/>
                      </a:rPr>
                      <a:t>436,0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98298676748583"/>
                      <c:h val="0.1641103081292920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baseline="0">
                    <a:latin typeface="Liberation Serif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январь-апрель 2019 года</c:v>
                </c:pt>
                <c:pt idx="1">
                  <c:v>январь-апрель 2020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219.89999999999998</c:v>
                </c:pt>
                <c:pt idx="1">
                  <c:v>295.04999999999995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3"/>
        <c:overlap val="100"/>
        <c:axId val="271297504"/>
        <c:axId val="271297896"/>
      </c:barChart>
      <c:catAx>
        <c:axId val="27129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5875">
            <a:solidFill>
              <a:prstClr val="black"/>
            </a:solidFill>
          </a:ln>
        </c:spPr>
        <c:txPr>
          <a:bodyPr/>
          <a:lstStyle/>
          <a:p>
            <a:pPr>
              <a:defRPr sz="1200" baseline="0">
                <a:latin typeface="Liberation Serif" panose="02020603050405020304" pitchFamily="18" charset="0"/>
              </a:defRPr>
            </a:pPr>
            <a:endParaRPr lang="ru-RU"/>
          </a:p>
        </c:txPr>
        <c:crossAx val="271297896"/>
        <c:crosses val="autoZero"/>
        <c:auto val="1"/>
        <c:lblAlgn val="ctr"/>
        <c:lblOffset val="100"/>
        <c:noMultiLvlLbl val="0"/>
      </c:catAx>
      <c:valAx>
        <c:axId val="271297896"/>
        <c:scaling>
          <c:orientation val="minMax"/>
          <c:max val="900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271297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744989870156251E-2"/>
          <c:y val="0.88446388645863727"/>
          <c:w val="0.93255865420081141"/>
          <c:h val="0.11146981627296589"/>
        </c:manualLayout>
      </c:layout>
      <c:overlay val="0"/>
      <c:txPr>
        <a:bodyPr/>
        <a:lstStyle/>
        <a:p>
          <a:pPr>
            <a:defRPr sz="1200" baseline="0"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505316072779035E-2"/>
          <c:y val="0.2411204481792717"/>
          <c:w val="0.91589363017934466"/>
          <c:h val="0.50756390745274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млрд. рублей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7.0453815158262314E-3"/>
                  <c:y val="0.31037139314931611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 b="0">
                        <a:latin typeface="Liberation Serif" panose="02020603050405020304" pitchFamily="18" charset="0"/>
                        <a:ea typeface="Liberation Serif" panose="02020603050405020304" pitchFamily="18" charset="0"/>
                        <a:cs typeface="Liberation Serif" panose="02020603050405020304" pitchFamily="18" charset="0"/>
                      </a:defRPr>
                    </a:pPr>
                    <a:r>
                      <a:rPr lang="en-US" sz="1400" b="0">
                        <a:latin typeface="Liberation Serif" panose="02020603050405020304" pitchFamily="18" charset="0"/>
                        <a:ea typeface="Liberation Serif" panose="02020603050405020304" pitchFamily="18" charset="0"/>
                        <a:cs typeface="Liberation Serif" panose="02020603050405020304" pitchFamily="18" charset="0"/>
                      </a:rPr>
                      <a:t>371,7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50506498170255E-3"/>
                  <c:y val="0.3287125839127928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 b="0">
                        <a:solidFill>
                          <a:schemeClr val="bg1"/>
                        </a:solidFill>
                        <a:latin typeface="Liberation Serif" panose="02020603050405020304" pitchFamily="18" charset="0"/>
                        <a:ea typeface="Liberation Serif" panose="02020603050405020304" pitchFamily="18" charset="0"/>
                        <a:cs typeface="Liberation Serif" panose="02020603050405020304" pitchFamily="18" charset="0"/>
                      </a:defRPr>
                    </a:pPr>
                    <a:r>
                      <a:rPr lang="en-US" sz="1400" b="0">
                        <a:solidFill>
                          <a:schemeClr val="tx1"/>
                        </a:solidFill>
                        <a:latin typeface="Liberation Serif" panose="02020603050405020304" pitchFamily="18" charset="0"/>
                        <a:ea typeface="Liberation Serif" panose="02020603050405020304" pitchFamily="18" charset="0"/>
                        <a:cs typeface="Liberation Serif" panose="02020603050405020304" pitchFamily="18" charset="0"/>
                      </a:rPr>
                      <a:t>371,1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январь-апрель 2019 года</c:v>
                </c:pt>
                <c:pt idx="1">
                  <c:v>январь-апрель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371.7</c:v>
                </c:pt>
                <c:pt idx="1">
                  <c:v>371.1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6"/>
        <c:axId val="271299072"/>
        <c:axId val="271299464"/>
      </c:barChart>
      <c:catAx>
        <c:axId val="2712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3402">
            <a:solidFill>
              <a:schemeClr val="tx1"/>
            </a:solidFill>
          </a:ln>
        </c:spPr>
        <c:txPr>
          <a:bodyPr/>
          <a:lstStyle/>
          <a:p>
            <a:pPr>
              <a:defRPr sz="1200" baseline="0">
                <a:latin typeface="Liberation Serif" panose="02020603050405020304" pitchFamily="18" charset="0"/>
              </a:defRPr>
            </a:pPr>
            <a:endParaRPr lang="ru-RU"/>
          </a:p>
        </c:txPr>
        <c:crossAx val="271299464"/>
        <c:crosses val="autoZero"/>
        <c:auto val="1"/>
        <c:lblAlgn val="ctr"/>
        <c:lblOffset val="100"/>
        <c:noMultiLvlLbl val="0"/>
      </c:catAx>
      <c:valAx>
        <c:axId val="271299464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271299072"/>
        <c:crosses val="autoZero"/>
        <c:crossBetween val="between"/>
      </c:valAx>
      <c:spPr>
        <a:noFill/>
        <a:ln w="2144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0.41018</cdr:x>
      <cdr:y>0.1311</cdr:y>
    </cdr:from>
    <cdr:to>
      <cdr:x>0.50283</cdr:x>
      <cdr:y>0.27603</cdr:y>
    </cdr:to>
    <cdr:sp macro="" textlink="">
      <cdr:nvSpPr>
        <cdr:cNvPr id="2" name="Выноска 1 1"/>
        <cdr:cNvSpPr/>
      </cdr:nvSpPr>
      <cdr:spPr>
        <a:xfrm xmlns:a="http://schemas.openxmlformats.org/drawingml/2006/main">
          <a:off x="2066782" y="209789"/>
          <a:ext cx="466838" cy="231916"/>
        </a:xfrm>
        <a:prstGeom xmlns:a="http://schemas.openxmlformats.org/drawingml/2006/main" prst="borderCallout1">
          <a:avLst>
            <a:gd name="adj1" fmla="val 49164"/>
            <a:gd name="adj2" fmla="val -1016"/>
            <a:gd name="adj3" fmla="val 88971"/>
            <a:gd name="adj4" fmla="val -34411"/>
          </a:avLst>
        </a:prstGeom>
        <a:noFill xmlns:a="http://schemas.openxmlformats.org/drawingml/2006/main"/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aseline="0">
              <a:solidFill>
                <a:sysClr val="windowText" lastClr="000000"/>
              </a:solidFill>
              <a:latin typeface="Liberation Serif" panose="02020603050405020304" pitchFamily="18" charset="0"/>
              <a:cs typeface="Times New Roman" pitchFamily="18" charset="0"/>
            </a:rPr>
            <a:t>146,6</a:t>
          </a:r>
        </a:p>
      </cdr:txBody>
    </cdr:sp>
  </cdr:relSizeAnchor>
  <cdr:relSizeAnchor xmlns:cdr="http://schemas.openxmlformats.org/drawingml/2006/chartDrawing">
    <cdr:from>
      <cdr:x>0.86383</cdr:x>
      <cdr:y>0.07588</cdr:y>
    </cdr:from>
    <cdr:to>
      <cdr:x>0.94495</cdr:x>
      <cdr:y>0.21069</cdr:y>
    </cdr:to>
    <cdr:sp macro="" textlink="">
      <cdr:nvSpPr>
        <cdr:cNvPr id="3" name="Выноска 1 2"/>
        <cdr:cNvSpPr/>
      </cdr:nvSpPr>
      <cdr:spPr>
        <a:xfrm xmlns:a="http://schemas.openxmlformats.org/drawingml/2006/main">
          <a:off x="4352604" y="121420"/>
          <a:ext cx="408741" cy="215723"/>
        </a:xfrm>
        <a:prstGeom xmlns:a="http://schemas.openxmlformats.org/drawingml/2006/main" prst="borderCallout1">
          <a:avLst>
            <a:gd name="adj1" fmla="val 60998"/>
            <a:gd name="adj2" fmla="val -3456"/>
            <a:gd name="adj3" fmla="val 95568"/>
            <a:gd name="adj4" fmla="val -44453"/>
          </a:avLst>
        </a:prstGeom>
        <a:noFill xmlns:a="http://schemas.openxmlformats.org/drawingml/2006/main"/>
        <a:ln xmlns:a="http://schemas.openxmlformats.org/drawingml/2006/main" w="31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lIns="0" tIns="0" rIns="0" bIns="0" anchor="ctr" anchorCtr="0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aseline="0">
              <a:solidFill>
                <a:sysClr val="windowText" lastClr="000000"/>
              </a:solidFill>
              <a:latin typeface="Liberation Serif" panose="02020603050405020304" pitchFamily="18" charset="0"/>
              <a:cs typeface="Times New Roman" pitchFamily="18" charset="0"/>
            </a:rPr>
            <a:t>196,7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0.74863</cdr:x>
      <cdr:y>0.0079</cdr:y>
    </cdr:from>
    <cdr:to>
      <cdr:x>0.74981</cdr:x>
      <cdr:y>0.29165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H="1">
          <a:off x="3949002" y="9526"/>
          <a:ext cx="6205" cy="342166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tailEnd type="triangle"/>
        </a:ln>
        <a:effectLst xmlns:a="http://schemas.openxmlformats.org/drawingml/2006/main"/>
      </cdr:spPr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Мария Андреевна</dc:creator>
  <dc:description/>
  <cp:lastModifiedBy>АНТОН</cp:lastModifiedBy>
  <cp:revision>13</cp:revision>
  <cp:lastPrinted>2020-05-28T05:51:00Z</cp:lastPrinted>
  <dcterms:created xsi:type="dcterms:W3CDTF">2020-05-28T13:34:00Z</dcterms:created>
  <dcterms:modified xsi:type="dcterms:W3CDTF">2020-05-29T05:28:00Z</dcterms:modified>
</cp:coreProperties>
</file>