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bookmarkStart w:id="0" w:name="_GoBack"/>
      <w:bookmarkEnd w:id="0"/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8257C" w:rsidRDefault="00F313C7">
      <w:pPr>
        <w:ind w:firstLine="0"/>
        <w:jc w:val="center"/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Свердловской области «Совершенствование социально-экономической политики на территории Свердловской области до 2024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года»,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утвержденную постановлением Правительства Свердловской области </w:t>
      </w:r>
    </w:p>
    <w:p w:rsidR="0068257C" w:rsidRDefault="00F313C7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от 25.12.2014 № 1209-ПП </w:t>
      </w:r>
    </w:p>
    <w:p w:rsidR="0068257C" w:rsidRDefault="0068257C">
      <w:pPr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8257C" w:rsidRDefault="0068257C">
      <w:pPr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8257C" w:rsidRDefault="00F313C7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>В соответствии с Указом Президента Российской Федерации от 7 мая 2018 года № 204 «О национальных целях и стратегических задачах развития Российской Федерации на пери</w:t>
      </w:r>
      <w:r>
        <w:rPr>
          <w:rFonts w:ascii="Liberation Serif" w:hAnsi="Liberation Serif" w:cs="Liberation Serif"/>
          <w:sz w:val="28"/>
          <w:szCs w:val="28"/>
        </w:rPr>
        <w:t>од до 2024 года», постановлением Правительства Российской Федерации от 31.10.2018 № 1288 «Об организации проектной деятельности в Правительстве Российской Федерации», статьей 101 Областного закона от 10 марта 1999 года № 4</w:t>
      </w:r>
      <w:r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</w:t>
      </w:r>
      <w:r>
        <w:rPr>
          <w:rFonts w:ascii="Liberation Serif" w:hAnsi="Liberation Serif" w:cs="Liberation Serif"/>
          <w:sz w:val="28"/>
          <w:szCs w:val="28"/>
        </w:rPr>
        <w:t>ой области», постановлением Правительства Свердловской области от 17.09.2014 № 790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Порядка формирования и реализации государственных программ Свердловской области»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Правительство Свердловской области</w:t>
      </w:r>
    </w:p>
    <w:p w:rsidR="0068257C" w:rsidRDefault="00F313C7">
      <w:pPr>
        <w:autoSpaceDE w:val="0"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8257C" w:rsidRDefault="00F313C7">
      <w:pPr>
        <w:pStyle w:val="a4"/>
        <w:tabs>
          <w:tab w:val="left" w:pos="851"/>
        </w:tabs>
        <w:autoSpaceDE w:val="0"/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Внести в государствен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 «Об утверждении государственной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программы Свердловской области «Совершенствование социально-экономической политики на территории Свердловской области до</w:t>
      </w:r>
      <w:r>
        <w:rPr>
          <w:rFonts w:ascii="Liberation Serif" w:hAnsi="Liberation Serif" w:cs="Liberation Serif"/>
          <w:sz w:val="28"/>
          <w:szCs w:val="28"/>
          <w:lang w:val="en-US" w:eastAsia="ru-RU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>2024</w:t>
      </w:r>
      <w:r>
        <w:rPr>
          <w:rFonts w:ascii="Liberation Serif" w:hAnsi="Liberation Serif" w:cs="Liberation Serif"/>
          <w:sz w:val="28"/>
          <w:szCs w:val="28"/>
          <w:lang w:val="en-US" w:eastAsia="ru-RU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года» («Официальный интернет-портал правовой информации» (www.pravo.gov.ru), 2014, 30 декабря, № 6600201412300004) с изменениями,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внесенными постановлениями Правительства Свердловской области от 15.07.2015 № 605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17.12.2015 № 1126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 29.06.2016 № 458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27.07.2016 № 523-ПП, от 09.11.2016 № 791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22.12.2016 № 883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16.02.2017 № 92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28.06.2017 № 464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31.08.2017 № 639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07.12.2017 № 899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25.01.2018 № 26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10.05.2018 № 281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19.07.2018 № 457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27.09.2018 № 634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08.11.2018 № 783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21.02.2019 № 100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12.04.2019 № 218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01.08.2019 № 470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14.11.2019 № 801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от 05.12.2019 № 869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25.12.2019 № 986</w:t>
      </w:r>
      <w:r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ПП, от 20.02.2020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85-ПП и от 19.03.2020 № 154-ПП, следующие изменения:</w:t>
      </w:r>
    </w:p>
    <w:p w:rsidR="0068257C" w:rsidRDefault="00F313C7">
      <w:pPr>
        <w:autoSpaceDE w:val="0"/>
        <w:ind w:firstLine="540"/>
      </w:pPr>
      <w:r>
        <w:rPr>
          <w:rFonts w:ascii="Liberation Serif" w:hAnsi="Liberation Serif" w:cs="Liberation Serif"/>
          <w:sz w:val="28"/>
          <w:szCs w:val="28"/>
        </w:rPr>
        <w:t xml:space="preserve">1) в </w:t>
      </w:r>
      <w:r>
        <w:rPr>
          <w:rFonts w:ascii="Liberation Serif" w:hAnsi="Liberation Serif" w:cs="Liberation Serif"/>
          <w:sz w:val="26"/>
          <w:szCs w:val="26"/>
        </w:rPr>
        <w:t>подпрограмме 2 раздела 1 абзац третий изложить в следующей редакции:</w:t>
      </w:r>
    </w:p>
    <w:p w:rsidR="0068257C" w:rsidRDefault="00F313C7">
      <w:pPr>
        <w:autoSpaceDE w:val="0"/>
        <w:ind w:firstLine="540"/>
      </w:pPr>
      <w:r>
        <w:rPr>
          <w:rFonts w:ascii="Liberation Serif" w:hAnsi="Liberation Serif" w:cs="Liberation Serif"/>
          <w:sz w:val="28"/>
          <w:szCs w:val="28"/>
        </w:rPr>
        <w:t>«Организована работа по прогнозированию баланса трудовых ресур</w:t>
      </w:r>
      <w:r>
        <w:rPr>
          <w:rFonts w:ascii="Liberation Serif" w:hAnsi="Liberation Serif" w:cs="Liberation Serif"/>
          <w:sz w:val="28"/>
          <w:szCs w:val="28"/>
        </w:rPr>
        <w:t xml:space="preserve">сов Свердловской области и потребности в кадрах в разрезе специальностей </w:t>
      </w:r>
      <w:r>
        <w:rPr>
          <w:rFonts w:ascii="Liberation Serif" w:hAnsi="Liberation Serif" w:cs="Liberation Serif"/>
          <w:sz w:val="28"/>
          <w:szCs w:val="28"/>
        </w:rPr>
        <w:lastRenderedPageBreak/>
        <w:t>и квалификаций, формированию заявки по контрольным цифрам приема в образовательные организации высшего образования, расположенные на территории Свердловской области, за счет средств ф</w:t>
      </w:r>
      <w:r>
        <w:rPr>
          <w:rFonts w:ascii="Liberation Serif" w:hAnsi="Liberation Serif" w:cs="Liberation Serif"/>
          <w:sz w:val="28"/>
          <w:szCs w:val="28"/>
        </w:rPr>
        <w:t xml:space="preserve">едерального бюджета во исполнение постановлений Правительства Российской Федерации от 03.06.2011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№ 440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</w:t>
      </w:r>
      <w:r>
        <w:rPr>
          <w:rFonts w:ascii="Liberation Serif" w:hAnsi="Liberation Serif" w:cs="Liberation Serif"/>
          <w:sz w:val="28"/>
          <w:szCs w:val="28"/>
        </w:rPr>
        <w:t>разработке прогноза баланса трудовых ресурсов» и от 13.03.2019 № 261 «Об утверждении Правил установления организациям, осуществляющим образовательную деятельность, контрольных цифр приема по профессиям, специальностям и направлениям подготовки и (или) укру</w:t>
      </w:r>
      <w:r>
        <w:rPr>
          <w:rFonts w:ascii="Liberation Serif" w:hAnsi="Liberation Serif" w:cs="Liberation Serif"/>
          <w:sz w:val="28"/>
          <w:szCs w:val="28"/>
        </w:rPr>
        <w:t xml:space="preserve">пненным группам профессий, специальностей и направлений подготовки для обучения по образовательным программам среднего профессионального и высшего образования за счет бюджетных ассигнований федерального бюджета и признании утратившими силу некоторых актов </w:t>
      </w:r>
      <w:r>
        <w:rPr>
          <w:rFonts w:ascii="Liberation Serif" w:hAnsi="Liberation Serif" w:cs="Liberation Serif"/>
          <w:sz w:val="28"/>
          <w:szCs w:val="28"/>
        </w:rPr>
        <w:t xml:space="preserve">Правительства Российской Федерации и их отдельных положений»,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Указа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31.10.2</w:t>
      </w:r>
      <w:r>
        <w:rPr>
          <w:rFonts w:ascii="Liberation Serif" w:hAnsi="Liberation Serif" w:cs="Liberation Serif"/>
          <w:sz w:val="28"/>
          <w:szCs w:val="28"/>
        </w:rPr>
        <w:t xml:space="preserve">003 № 599-УГ «О кадровом восполнении хозяйственного комплекса Свердловской области», постановлений Правительства Свердловской области от 15.10.2009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№ 1409-ПП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мероприятиях по обеспечению прогнозирования подготовки и переподготовки специалистов для организаций, расположенных на территории Свердловской области» и от 15.08.2012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№ 873-ПП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разработке прогноза баланса трудовых ресурсов Свердловской области» и распоряжения Правительства Свердловской области от 17.05.2013 № 621</w:t>
      </w:r>
      <w:r>
        <w:rPr>
          <w:rFonts w:ascii="Liberation Serif" w:hAnsi="Liberation Serif" w:cs="Liberation Serif"/>
          <w:sz w:val="28"/>
          <w:szCs w:val="28"/>
        </w:rPr>
        <w:t>-РП «О Координационном совете Правительства Свердловской области по кадровому обеспечению экономики Свердловской области».»;</w:t>
      </w:r>
    </w:p>
    <w:p w:rsidR="0068257C" w:rsidRDefault="00F313C7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2) в подпрограмме 4 раздела 1 абзацы сороковой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сорок первый изложить в следующей редакции: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«Разработка и утверждение </w:t>
      </w:r>
      <w:r>
        <w:rPr>
          <w:rFonts w:ascii="Liberation Serif" w:hAnsi="Liberation Serif" w:cs="Liberation Serif"/>
          <w:sz w:val="28"/>
          <w:szCs w:val="28"/>
        </w:rPr>
        <w:t>административных регламентов в Свердловской области осуществляется в соответствии с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</w:t>
      </w:r>
      <w:r>
        <w:rPr>
          <w:rFonts w:ascii="Liberation Serif" w:hAnsi="Liberation Serif" w:cs="Liberation Serif"/>
          <w:sz w:val="28"/>
          <w:szCs w:val="28"/>
        </w:rPr>
        <w:t>адзора) и административных регламентов предоставления государственных услуг» (далее - постановление Правительства Свердловской области от 17.10.2018 № 697-ПП).</w:t>
      </w:r>
    </w:p>
    <w:p w:rsidR="0068257C" w:rsidRDefault="00F313C7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</w:t>
      </w:r>
      <w:r>
        <w:rPr>
          <w:rFonts w:ascii="Liberation Serif" w:hAnsi="Liberation Serif" w:cs="Liberation Serif"/>
          <w:sz w:val="28"/>
          <w:szCs w:val="28"/>
        </w:rPr>
        <w:t>вержденным Постановлением Правительства Свердловской области от 17.10.2018 № 697-ПП, экспертиза проводится Министерством экономики и территориального развития Свердловской области (далее - Министерство).»;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подпрограмме 4 раздела 1 абзацы пятьдесят сед</w:t>
      </w:r>
      <w:r>
        <w:rPr>
          <w:rFonts w:ascii="Liberation Serif" w:hAnsi="Liberation Serif" w:cs="Liberation Serif"/>
          <w:sz w:val="28"/>
          <w:szCs w:val="28"/>
        </w:rPr>
        <w:t xml:space="preserve">ьмой – пятьдесят девятый изложить в следующей редакции: 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«Постановлением Правительства Свердловской области от 19.01.2012                № 17-ПП «О региональной государственной информационной системе «Реестр государственных и муниципальных услуг (функций) </w:t>
      </w:r>
      <w:r>
        <w:rPr>
          <w:rFonts w:ascii="Liberation Serif" w:hAnsi="Liberation Serif" w:cs="Liberation Serif"/>
          <w:sz w:val="28"/>
          <w:szCs w:val="28"/>
        </w:rPr>
        <w:t>Свердловской области», утвержден Порядок формирования и ведения региональной государственной информационной системы «Реестр государственных и муниципальных услуг (функций) Свердловской области» (далее - региональный реестр).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Министерство является уполномоч</w:t>
      </w:r>
      <w:r>
        <w:rPr>
          <w:rFonts w:ascii="Liberation Serif" w:hAnsi="Liberation Serif" w:cs="Liberation Serif"/>
          <w:sz w:val="28"/>
          <w:szCs w:val="28"/>
        </w:rPr>
        <w:t>енным исполнительным органом государственной власти Свердловской области по ведению регионального реестра, в том числе согласованию сведений о государственных услугах при их размещении и внесении в них изменений.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2016 год специалистами Министерства в ре</w:t>
      </w:r>
      <w:r>
        <w:rPr>
          <w:rFonts w:ascii="Liberation Serif" w:hAnsi="Liberation Serif" w:cs="Liberation Serif"/>
          <w:sz w:val="28"/>
          <w:szCs w:val="28"/>
        </w:rPr>
        <w:t>гиональном реестре согласованы изменения сведений о 400 государственных и муниципальных услугах (функциях) Свердловской области. В региональном реестре опубликованы сведения о 207 государственных услугах и 5104 муниципальных услугах.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2017 году из 224 пос</w:t>
      </w:r>
      <w:r>
        <w:rPr>
          <w:rFonts w:ascii="Liberation Serif" w:hAnsi="Liberation Serif" w:cs="Liberation Serif"/>
          <w:sz w:val="28"/>
          <w:szCs w:val="28"/>
        </w:rPr>
        <w:t>тупивших сведений о государственных услугах опубликовано 140 сведений, остальные направлены на доработку. Согласовано 6 поступивших сведений о муниципальных услугах, введенных ОМСУ.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2018 году в региональном реестре из 323 поступивших сведений о государст</w:t>
      </w:r>
      <w:r>
        <w:rPr>
          <w:rFonts w:ascii="Liberation Serif" w:hAnsi="Liberation Serif" w:cs="Liberation Serif"/>
          <w:sz w:val="28"/>
          <w:szCs w:val="28"/>
        </w:rPr>
        <w:t>венных услугах опубликовано 179 сведений и удалено 12 сведений, остальные возвращены на доработку. Из 23 поступивших на согласование сведений о муниципальных услугах, введенных ОМСУ, согласовано 20 сведений, остальные направлены на доработку.</w:t>
      </w:r>
    </w:p>
    <w:p w:rsidR="0068257C" w:rsidRDefault="00F313C7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2019 год в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региональном реестре из 410 поступивших сведений о государственных услугах опубликовано 97 сведений и удалено 3 сведения, остальные возвращены на доработку. Из 49 поступивших на согласование сведений о муниципальных услугах, введенных ОМСУ, согласовано 16</w:t>
      </w:r>
      <w:r>
        <w:rPr>
          <w:rFonts w:ascii="Liberation Serif" w:hAnsi="Liberation Serif" w:cs="Liberation Serif"/>
          <w:sz w:val="28"/>
          <w:szCs w:val="28"/>
        </w:rPr>
        <w:t xml:space="preserve"> сведений, остальные направлены на доработку. В региональном реестре опубликованы сведения о 266 государственных услугах и 5167 муниципальных услугах.»;</w:t>
      </w:r>
    </w:p>
    <w:p w:rsidR="0068257C" w:rsidRDefault="00F313C7">
      <w:pPr>
        <w:pStyle w:val="ConsPlusNormal"/>
        <w:tabs>
          <w:tab w:val="left" w:pos="8789"/>
        </w:tabs>
        <w:ind w:right="-2"/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подпрограмму 4 </w:t>
      </w:r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аздела 1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абзаца шестидесятого дополнить абзацами следующего содержания:</w:t>
      </w:r>
    </w:p>
    <w:p w:rsidR="0068257C" w:rsidRDefault="00F313C7">
      <w:pPr>
        <w:pStyle w:val="ConsPlusNormal"/>
        <w:tabs>
          <w:tab w:val="left" w:pos="8789"/>
        </w:tabs>
        <w:ind w:right="-2" w:firstLine="54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«С 201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 года в соответствии с полномочиями Министерство осуществляет ведение Перечня государственных услуг исполнительных органов государственной власти Свердловской области, информация о которых должна быть размещена в региональном реестре (далее – Перечень гос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ударственных услуг). </w:t>
      </w:r>
    </w:p>
    <w:p w:rsidR="0068257C" w:rsidRDefault="00F313C7">
      <w:pPr>
        <w:pStyle w:val="ConsPlusNormal"/>
        <w:tabs>
          <w:tab w:val="left" w:pos="8789"/>
        </w:tabs>
        <w:ind w:right="-2" w:firstLine="54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унификации Перечня государственных услуг и упорядочения деятельности исполнительных органов государственной власти Свердловской области приказом Министерства от 28.08.2019 № 60 утвержден Порядок ведения данного перечня.</w:t>
      </w:r>
    </w:p>
    <w:p w:rsidR="0068257C" w:rsidRDefault="00F313C7">
      <w:pPr>
        <w:pStyle w:val="ConsPlusNormal"/>
        <w:tabs>
          <w:tab w:val="left" w:pos="8789"/>
        </w:tabs>
        <w:ind w:right="-2" w:firstLine="54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ведения Перечня государственных услуг осуществляется Министерством на основании сведений, направляемых в качестве предложений исполнительными органами государственной власти Свердловской области.</w:t>
      </w:r>
    </w:p>
    <w:p w:rsidR="0068257C" w:rsidRDefault="00F313C7">
      <w:pPr>
        <w:pStyle w:val="ConsPlusNormal"/>
        <w:tabs>
          <w:tab w:val="left" w:pos="8789"/>
        </w:tabs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состоянию на 15 июля 2020 года Перечень 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сударственных услуг содержит сведения о 286 государственных услугах (в том числе по 20 услугам в статусе «в разработке») 22 исполнительных органов государственной власти Свердловской области, описанным по 19 критериям (круг заявителей, предоставление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в электронном виде, через МФЦ, наличие государственной пошлины и иные).»;</w:t>
      </w:r>
    </w:p>
    <w:p w:rsidR="0068257C" w:rsidRDefault="00F313C7">
      <w:pPr>
        <w:pStyle w:val="aff2"/>
        <w:tabs>
          <w:tab w:val="left" w:pos="8789"/>
        </w:tabs>
        <w:ind w:right="-2" w:firstLine="539"/>
      </w:pPr>
      <w:r>
        <w:rPr>
          <w:rFonts w:ascii="Liberation Serif" w:hAnsi="Liberation Serif" w:cs="Liberation Serif"/>
          <w:sz w:val="28"/>
          <w:szCs w:val="28"/>
        </w:rPr>
        <w:t xml:space="preserve">5) в подпрограмме 4 раздела 1 абзацы сто девятый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сто двенадцатый изложить в следующей редакции:</w:t>
      </w:r>
    </w:p>
    <w:p w:rsidR="0068257C" w:rsidRDefault="00F313C7">
      <w:pPr>
        <w:pStyle w:val="aff2"/>
        <w:tabs>
          <w:tab w:val="left" w:pos="8789"/>
        </w:tabs>
        <w:ind w:right="-2" w:firstLine="53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«С 2015 года проводится мониторинг качества предоставления государственных и муниц</w:t>
      </w:r>
      <w:r>
        <w:rPr>
          <w:rFonts w:ascii="Liberation Serif" w:hAnsi="Liberation Serif" w:cs="Liberation Serif"/>
          <w:color w:val="000000"/>
          <w:sz w:val="28"/>
          <w:szCs w:val="28"/>
        </w:rPr>
        <w:t>ипальных услуг с использованием федеральной системы мониторинга качества государственных услуг «Ваш контроль» (далее – ИАС МКГУ).</w:t>
      </w:r>
    </w:p>
    <w:p w:rsidR="0068257C" w:rsidRDefault="00F313C7">
      <w:pPr>
        <w:pStyle w:val="ConsPlusNormal"/>
        <w:tabs>
          <w:tab w:val="left" w:pos="8789"/>
        </w:tabs>
        <w:ind w:right="-2" w:firstLine="540"/>
      </w:pPr>
      <w:r>
        <w:rPr>
          <w:rFonts w:ascii="Liberation Serif" w:hAnsi="Liberation Serif" w:cs="Liberation Serif"/>
          <w:color w:val="000000"/>
          <w:sz w:val="28"/>
          <w:szCs w:val="28"/>
        </w:rPr>
        <w:t>По итогам 2016, 2017 и 2018 годов показатель удовлетворенности граждан качеством предоставления государственных услуг в Свердл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овской области составил 96,64, </w:t>
      </w:r>
      <w:r>
        <w:rPr>
          <w:rFonts w:ascii="Liberation Serif" w:hAnsi="Liberation Serif" w:cs="Liberation Serif"/>
          <w:sz w:val="28"/>
          <w:szCs w:val="28"/>
        </w:rPr>
        <w:t>96,05 и 96,73 процентов соответственно.</w:t>
      </w:r>
    </w:p>
    <w:p w:rsidR="0068257C" w:rsidRDefault="00F313C7">
      <w:pPr>
        <w:pStyle w:val="aff2"/>
        <w:tabs>
          <w:tab w:val="left" w:pos="8789"/>
        </w:tabs>
        <w:ind w:right="-2" w:firstLine="5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2019 года в соответствии с постановлением Правительства Российской Федерации от 31.03.2018 № 395 «О внесении изменений в постановление Правительства Российской Федерации от 12 декабря</w:t>
      </w:r>
      <w:r>
        <w:rPr>
          <w:rFonts w:ascii="Liberation Serif" w:hAnsi="Liberation Serif" w:cs="Liberation Serif"/>
          <w:sz w:val="28"/>
          <w:szCs w:val="28"/>
        </w:rPr>
        <w:t xml:space="preserve"> 2012 г. № 1284» для каждого высшего исполнительного органа государственной власти субъектов Российской Федерации создан личный кабинет ИАС МКГУ. В личном кабинете Свердловской области в ИАС МКГУ отображаются уровни удовлетворенности граждан качеством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государственных и муниципальных услуг, оказанных в разрезе федеральных органов исполнительных органов и филиалов многофункционального центра. </w:t>
      </w:r>
    </w:p>
    <w:p w:rsidR="0068257C" w:rsidRDefault="00F313C7">
      <w:pPr>
        <w:pStyle w:val="aff2"/>
        <w:tabs>
          <w:tab w:val="left" w:pos="8789"/>
        </w:tabs>
        <w:ind w:right="-2" w:firstLine="5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реализации федерального законодательства принято постановление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от 15.01.2019 № 9-ПП «О мерах, направленных на реализацию постановления Правительства Российской Федерации от 31.03.2018 № 395 «О внесении изменений в постановление Правительства Российской Федерации от 12 декабря 2012 г. № 1284».</w:t>
      </w:r>
    </w:p>
    <w:p w:rsidR="0068257C" w:rsidRDefault="00F313C7">
      <w:pPr>
        <w:pStyle w:val="aff2"/>
        <w:tabs>
          <w:tab w:val="left" w:pos="8789"/>
        </w:tabs>
        <w:ind w:right="-2" w:firstLine="5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Ежегодно сводный отчет о </w:t>
      </w:r>
      <w:r>
        <w:rPr>
          <w:rFonts w:ascii="Liberation Serif" w:hAnsi="Liberation Serif" w:cs="Liberation Serif"/>
          <w:sz w:val="28"/>
          <w:szCs w:val="28"/>
        </w:rPr>
        <w:t>достижении руководителями территориальных органов федеральных органов исполнительной власти, государственных внебюджетных фондов и руководителем МФЦ установленных показателей уровня удовлетворенности граждан качеством предоставления государственных и муниц</w:t>
      </w:r>
      <w:r>
        <w:rPr>
          <w:rFonts w:ascii="Liberation Serif" w:hAnsi="Liberation Serif" w:cs="Liberation Serif"/>
          <w:sz w:val="28"/>
          <w:szCs w:val="28"/>
        </w:rPr>
        <w:t>ипальных услуг направляется Губернатору Свердловской области.</w:t>
      </w:r>
    </w:p>
    <w:p w:rsidR="0068257C" w:rsidRDefault="00F313C7">
      <w:pPr>
        <w:pStyle w:val="aff2"/>
        <w:tabs>
          <w:tab w:val="left" w:pos="8789"/>
        </w:tabs>
        <w:ind w:right="-2" w:firstLine="539"/>
      </w:pPr>
      <w:r>
        <w:rPr>
          <w:rFonts w:ascii="Liberation Serif" w:hAnsi="Liberation Serif" w:cs="Liberation Serif"/>
          <w:sz w:val="28"/>
          <w:szCs w:val="28"/>
        </w:rPr>
        <w:t>В 2019 году по результатам ежегодного сводного отчета уровень удовлетворенности граждан качеством предоставления государственных и муниципальных услуг в Свердловской области в среднем по области</w:t>
      </w:r>
      <w:r>
        <w:rPr>
          <w:rFonts w:ascii="Liberation Serif" w:hAnsi="Liberation Serif" w:cs="Liberation Serif"/>
          <w:sz w:val="28"/>
          <w:szCs w:val="28"/>
        </w:rPr>
        <w:t xml:space="preserve"> составил </w:t>
      </w:r>
      <w:r>
        <w:rPr>
          <w:rFonts w:ascii="Liberation Serif" w:hAnsi="Liberation Serif" w:cs="Liberation Serif"/>
          <w:bCs/>
          <w:sz w:val="28"/>
          <w:szCs w:val="28"/>
        </w:rPr>
        <w:t>97,67</w:t>
      </w:r>
      <w:r>
        <w:rPr>
          <w:rFonts w:ascii="Liberation Serif" w:hAnsi="Liberation Serif" w:cs="Liberation Serif"/>
          <w:sz w:val="28"/>
          <w:szCs w:val="28"/>
        </w:rPr>
        <w:t xml:space="preserve"> процента, что превышает уровень удовлетворенности по итогам 2018 года.</w:t>
      </w:r>
    </w:p>
    <w:p w:rsidR="0068257C" w:rsidRDefault="00F313C7">
      <w:pPr>
        <w:autoSpaceDE w:val="0"/>
        <w:ind w:right="-2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Целевой параметр, установленный </w:t>
      </w:r>
      <w:hyperlink r:id="rId11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Президента Российской 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>Федерации от 7 мая 2012 года N 601: к 2018 году уровень удовлетворенности граждан Российской Федерации качеством предоставления государственных и муниципальных услуг, ежегодно составляет не менее 90 процентов.»;</w:t>
      </w:r>
    </w:p>
    <w:p w:rsidR="0068257C" w:rsidRDefault="00F313C7">
      <w:pPr>
        <w:ind w:right="-2"/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подпрограмму 4 раздела 1 после абзаца сто девятнадцатого дополнить абзацами следующего содержания:</w:t>
      </w:r>
    </w:p>
    <w:p w:rsidR="0068257C" w:rsidRDefault="00F313C7">
      <w:pPr>
        <w:pStyle w:val="ConsPlusNormal"/>
        <w:ind w:right="-2" w:firstLine="540"/>
        <w:rPr>
          <w:rFonts w:ascii="Liberation Serif" w:eastAsia="Calibri" w:hAnsi="Liberation Serif" w:cs="Liberation Serif"/>
          <w:bCs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ar-SA"/>
        </w:rPr>
        <w:t>«С июня 2017 года на портале реализована возможность размещения муниципальных проектов нормативных правовых актов, что позволяет экспертам участвовать в публ</w:t>
      </w:r>
      <w:r>
        <w:rPr>
          <w:rFonts w:ascii="Liberation Serif" w:eastAsia="Calibri" w:hAnsi="Liberation Serif" w:cs="Liberation Serif"/>
          <w:bCs/>
          <w:sz w:val="28"/>
          <w:szCs w:val="28"/>
          <w:lang w:eastAsia="ar-SA"/>
        </w:rPr>
        <w:t>ичных консультациях на единой централизованной площадке. </w:t>
      </w:r>
    </w:p>
    <w:p w:rsidR="0068257C" w:rsidRDefault="00F313C7">
      <w:pPr>
        <w:pStyle w:val="ConsPlusNormal"/>
        <w:ind w:right="-2" w:firstLine="540"/>
        <w:rPr>
          <w:rFonts w:ascii="Liberation Serif" w:eastAsia="Calibri" w:hAnsi="Liberation Serif" w:cs="Liberation Serif"/>
          <w:bCs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ar-SA"/>
        </w:rPr>
        <w:t>В 2019 году на портале ОРВ процедуры ОРВ и экспертизы провело 31 муниципальное образование, расположенное на территории Свердловской области.»;</w:t>
      </w:r>
    </w:p>
    <w:p w:rsidR="0068257C" w:rsidRDefault="00F313C7">
      <w:pPr>
        <w:ind w:right="-2"/>
      </w:pPr>
      <w:r>
        <w:rPr>
          <w:rFonts w:ascii="Times New Roman" w:hAnsi="Times New Roman"/>
          <w:sz w:val="28"/>
          <w:szCs w:val="28"/>
          <w:lang w:eastAsia="ru-RU"/>
        </w:rPr>
        <w:t>7) в подпрограмме 6 раздела 1</w:t>
      </w:r>
      <w:r>
        <w:rPr>
          <w:rFonts w:ascii="Liberation Serif" w:hAnsi="Liberation Serif" w:cs="Liberation Serif"/>
          <w:sz w:val="28"/>
          <w:szCs w:val="28"/>
        </w:rPr>
        <w:t xml:space="preserve"> в абзаце восьмом слова «</w:t>
      </w:r>
      <w:r>
        <w:rPr>
          <w:rFonts w:ascii="Liberation Serif" w:hAnsi="Liberation Serif" w:cs="Liberation Serif"/>
          <w:sz w:val="28"/>
          <w:szCs w:val="28"/>
        </w:rPr>
        <w:t>общественно-деловых советов и экспертных групп» заменить словами «общественных советов при исполнительных органах государственной власти Свердловской области»;</w:t>
      </w:r>
    </w:p>
    <w:p w:rsidR="0068257C" w:rsidRDefault="00F313C7">
      <w:pPr>
        <w:autoSpaceDE w:val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8) в приложении № 1 в таблице строки 13, 56 и 58 изложить в новой редакции (приложение № 1);</w:t>
      </w:r>
    </w:p>
    <w:p w:rsidR="0068257C" w:rsidRDefault="00F313C7">
      <w:pPr>
        <w:autoSpaceDE w:val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</w:t>
      </w:r>
      <w:r>
        <w:rPr>
          <w:rFonts w:ascii="Liberation Serif" w:hAnsi="Liberation Serif" w:cs="Liberation Serif"/>
          <w:sz w:val="28"/>
          <w:szCs w:val="28"/>
        </w:rPr>
        <w:t>приложение № 2 изложить в новой редакции (приложение № 2);</w:t>
      </w:r>
    </w:p>
    <w:p w:rsidR="0068257C" w:rsidRDefault="00F313C7">
      <w:pPr>
        <w:autoSpaceDE w:val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приложение № 6 изложить в новой редакции (приложение № 3).</w:t>
      </w:r>
    </w:p>
    <w:p w:rsidR="0068257C" w:rsidRDefault="00F313C7">
      <w:pPr>
        <w:autoSpaceDE w:val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8257C" w:rsidRDefault="00F313C7">
      <w:pPr>
        <w:autoSpaceDE w:val="0"/>
        <w:ind w:right="-2"/>
      </w:pPr>
      <w:r>
        <w:rPr>
          <w:rFonts w:ascii="Liberation Serif" w:hAnsi="Liberation Serif" w:cs="Liberation Serif"/>
          <w:sz w:val="28"/>
          <w:szCs w:val="28"/>
        </w:rPr>
        <w:t>3. Настоящее постановление опубликовать на «Официаль</w:t>
      </w:r>
      <w:r>
        <w:rPr>
          <w:rFonts w:ascii="Liberation Serif" w:hAnsi="Liberation Serif" w:cs="Liberation Serif"/>
          <w:sz w:val="28"/>
          <w:szCs w:val="28"/>
        </w:rPr>
        <w:t>ном интернет-портале правовой информации Свердловской области» (</w:t>
      </w:r>
      <w:hyperlink r:id="rId12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68257C" w:rsidRDefault="0068257C">
      <w:pPr>
        <w:tabs>
          <w:tab w:val="left" w:pos="8080"/>
        </w:tabs>
        <w:autoSpaceDE w:val="0"/>
        <w:ind w:firstLine="544"/>
        <w:rPr>
          <w:rFonts w:ascii="Liberation Serif" w:hAnsi="Liberation Serif" w:cs="Liberation Serif"/>
          <w:sz w:val="28"/>
          <w:szCs w:val="28"/>
        </w:rPr>
      </w:pPr>
    </w:p>
    <w:p w:rsidR="0068257C" w:rsidRDefault="0068257C">
      <w:pPr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8257C" w:rsidRDefault="00F313C7">
      <w:pPr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Губернатор</w:t>
      </w:r>
    </w:p>
    <w:p w:rsidR="0068257C" w:rsidRDefault="00F313C7">
      <w:pPr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  <w:sectPr w:rsidR="0068257C">
          <w:headerReference w:type="default" r:id="rId13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ab/>
        <w:t>Е.В. Куйвашев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_________________№ _________</w:t>
      </w:r>
    </w:p>
    <w:p w:rsidR="0068257C" w:rsidRDefault="0068257C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0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p w:rsidR="0068257C" w:rsidRDefault="0068257C">
      <w:pPr>
        <w:ind w:firstLine="0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tbl>
      <w:tblPr>
        <w:tblW w:w="1559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2693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</w:tr>
    </w:tbl>
    <w:p w:rsidR="0068257C" w:rsidRDefault="0068257C">
      <w:pPr>
        <w:tabs>
          <w:tab w:val="left" w:pos="10490"/>
          <w:tab w:val="left" w:pos="11482"/>
        </w:tabs>
        <w:spacing w:line="20" w:lineRule="exact"/>
        <w:ind w:left="9923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59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2693"/>
      </w:tblGrid>
      <w:tr w:rsidR="0068257C">
        <w:tblPrEx>
          <w:tblCellMar>
            <w:top w:w="0" w:type="dxa"/>
            <w:bottom w:w="0" w:type="dxa"/>
          </w:tblCellMar>
        </w:tblPrEx>
        <w:trPr>
          <w:trHeight w:val="1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Достижение целевых показателей, установленных в указах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en-US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указы Президента Российской Федерации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от 7 мая 2012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года № 596 </w:t>
            </w:r>
          </w:p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«О долгосрочной государственной экономической политике»,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от 7 мая 2012 года № 597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«О мероприятиях по реализации государственной социальной политики», </w:t>
            </w:r>
          </w:p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от 7 мая 2012 года № 599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«О мерах по реализации государственной политики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 области обра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зования </w:t>
            </w:r>
          </w:p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науки»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ind w:firstLine="0"/>
              <w:jc w:val="left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left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элементов (процессов) проектной деятельности в Свердловской области, обеспеченных методическим сопровождением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Указ Губернатора Свердловской области                           от 14.02.2017 № 84-УГ                 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      </w:r>
          </w:p>
          <w:p w:rsidR="0068257C" w:rsidRDefault="0068257C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257C" w:rsidRDefault="0068257C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257C" w:rsidRDefault="0068257C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right="114" w:firstLine="0"/>
              <w:jc w:val="left"/>
              <w:rPr>
                <w:rFonts w:ascii="Liberation Serif" w:eastAsia="Times New Roman" w:hAnsi="Liberation Serif" w:cs="Liberation Serif"/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68257C">
            <w:pPr>
              <w:autoSpaceDE w:val="0"/>
              <w:ind w:right="113" w:firstLine="0"/>
              <w:jc w:val="left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образований, расположенных                    на территории Свердловской области, участвующих                          в реализации региональных                     и ведомственных проектов (программ)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 Губернатора Свердловской области                           от 14.02.2017 № 84-УГ                       «Об организации проектной деятельности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Правительстве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>области                             и исполнительных органах государственной власти Свердловской области»</w:t>
            </w:r>
          </w:p>
        </w:tc>
      </w:tr>
    </w:tbl>
    <w:p w:rsidR="0068257C" w:rsidRDefault="00F313C7">
      <w:pPr>
        <w:pageBreakBefore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68257C" w:rsidRDefault="00F313C7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68257C" w:rsidRDefault="0068257C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850"/>
        <w:gridCol w:w="1134"/>
        <w:gridCol w:w="1134"/>
        <w:gridCol w:w="1102"/>
        <w:gridCol w:w="1134"/>
        <w:gridCol w:w="1134"/>
        <w:gridCol w:w="1134"/>
        <w:gridCol w:w="993"/>
        <w:gridCol w:w="1101"/>
        <w:gridCol w:w="1024"/>
        <w:gridCol w:w="959"/>
        <w:gridCol w:w="1024"/>
        <w:gridCol w:w="852"/>
      </w:tblGrid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Но-мер стро-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Код феде-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рального проекта</w:t>
            </w:r>
          </w:p>
        </w:tc>
        <w:tc>
          <w:tcPr>
            <w:tcW w:w="11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Номера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целевых показа-телей, на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достиже-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ние которых направ-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лены меропри-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ятия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2023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257C" w:rsidRDefault="0068257C">
      <w:pPr>
        <w:tabs>
          <w:tab w:val="left" w:pos="10490"/>
          <w:tab w:val="left" w:pos="11482"/>
        </w:tabs>
        <w:spacing w:line="20" w:lineRule="exact"/>
        <w:ind w:left="9923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85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856"/>
        <w:gridCol w:w="843"/>
        <w:gridCol w:w="290"/>
        <w:gridCol w:w="566"/>
        <w:gridCol w:w="566"/>
        <w:gridCol w:w="566"/>
        <w:gridCol w:w="527"/>
        <w:gridCol w:w="599"/>
        <w:gridCol w:w="6"/>
        <w:gridCol w:w="527"/>
        <w:gridCol w:w="566"/>
        <w:gridCol w:w="566"/>
        <w:gridCol w:w="566"/>
        <w:gridCol w:w="566"/>
        <w:gridCol w:w="566"/>
        <w:gridCol w:w="425"/>
        <w:gridCol w:w="708"/>
        <w:gridCol w:w="425"/>
        <w:gridCol w:w="566"/>
        <w:gridCol w:w="425"/>
        <w:gridCol w:w="708"/>
        <w:gridCol w:w="284"/>
        <w:gridCol w:w="707"/>
        <w:gridCol w:w="284"/>
        <w:gridCol w:w="708"/>
        <w:gridCol w:w="141"/>
        <w:gridCol w:w="40"/>
        <w:gridCol w:w="40"/>
        <w:gridCol w:w="68"/>
        <w:gridCol w:w="40"/>
        <w:gridCol w:w="62"/>
        <w:gridCol w:w="600"/>
        <w:gridCol w:w="849"/>
      </w:tblGrid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Всего по государственной программе </w:t>
            </w:r>
          </w:p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4 866 505,1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1 322 458,4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1 052 379,7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1 105 302,6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412 739,9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151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335,8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166 619,1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164 437,3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172 955,5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159 011,7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159 265,1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66 153,7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63 105,0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4 799 363,2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1 259 262,4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1 051 367,7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1 104 994,1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412 269,0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150 851,9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165 562,9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4 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132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172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646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159 011,7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159 265,1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том числе субсидии местным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59 615,9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10 400,0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10 406,3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12 750,6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12 541,7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11 226,2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230 496,4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168 775,0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61 721,4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230 496,4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168 775,0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61 721,4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  <w:p w:rsidR="0068257C" w:rsidRDefault="0068257C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Подпрограмма 1 «Развитие системы стратегического планирования и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прогнозирования социально-экономического развития Свердловской области»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Всего по подпрограмме 1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307 624,0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299 000,0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7108,9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307 624,0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299 000,0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7108,9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lastRenderedPageBreak/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Разработка проекта Стратегии социально-экономического развития Свердловской области до 2030 года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Разработка нормативного правового акта об установлении потребительской корзины в Свердловской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rPr>
                <w:rFonts w:eastAsia="Times New Roman" w:cs="Liberation Serif"/>
                <w:bCs/>
                <w:sz w:val="20"/>
              </w:rPr>
            </w:pPr>
            <w:r>
              <w:rPr>
                <w:rFonts w:eastAsia="Times New Roman" w:cs="Liberation Serif"/>
                <w:bCs/>
                <w:sz w:val="20"/>
              </w:rPr>
              <w:t>Расчет величины прожиточного минимума для социально-демографических групп населения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Разработка прогноза социально-экономического развития Свердловской области на </w:t>
            </w: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среднесрочную перспективу, одобренного Правительством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lastRenderedPageBreak/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взаимодействия с Управлением Федеральной службы государственной статистики по Свердловской области и Курганской области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по вопросам получения статистической информации, в том числе формирование перечня статистических работ, ведение реестра поступающей информации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Разработка долгосрочного прогноза социально-экономического развития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Свердловской области для представления в Правительство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295 000,0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295 000,0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295 000,0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295 000,0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lastRenderedPageBreak/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hanging="22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Субсидия автономной некоммерческой организации «Стратегическое партнерство по экономическому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и социальному развитию Уральского федерального округа»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 осуществление мероприятий по экономическому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 социальному развитию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рамках стратегического партнерства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1.1.1.6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Выполнение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научно-исследовательской работы по социально-экономическому и территориальному обоснованию схемы территориального планирования Свердловской области в части Екатеринбургской агломерации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2108,9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Мероприятия по научному обоснованию изменений прогноза социально-экономического развития Свердловской области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3624,0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2108,9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349,6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3624,0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2108,9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349,6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388,5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Подпрограмма 2 «Комплексное развитие человеческого капитала»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Всего по подпрограмме 2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8957,8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870,9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1806,8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3153,7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4815,9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том числе субсидии местным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4815,9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Реализация мероприятий по социально-экономическому развитию коренных малочисленных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народов Севера (манси)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6848,4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648,6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685,6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2.1.3.1 - 2.1.3.3, 2.1.3.5 - 2.1.3.8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1953,5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4139,6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том числе субсидии местным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4139,6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spacing w:line="228" w:lineRule="auto"/>
              <w:jc w:val="center"/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755,3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Реализация мероприятий по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социально-экономическому развитию коренных малочисленных народов Севера (манси), направленных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 содействие этнокультурному многообразию народов России, проживающих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в Свердловской области 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2109,4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1158,2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2.1.3.4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1200,2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том числе субсидии местным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Обеспечение подготовки в установленном порядке прогноза баланса трудовых ресурсов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40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подготовки среднесрочного прогноза потребности в подготовке специалистов для организаций, расположенных в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lastRenderedPageBreak/>
              <w:t>41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методического сопровождения, организационно-методологической работы по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разработке прогноза баланса трудовых ресурсов в муниципальных образованиях, расположенных на территории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Комплексный анализ прогнозов баланса трудовых ресурсов и прогнозов потребности в подготовке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специалистов для организаций муниципальных образований, расположенных на территории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43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Мониторинг и анализ демографических процессов в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организации заседаний советов при Губернаторе Свердловской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области по реализации приоритетных национальных проектов «Здоровье», «Образование», «Доступное и комфортное жилье - гражданам России», «Развитие агропромышленного комплекса» и монитори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нг реализации их решений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  <w:lang w:val="en-US"/>
              </w:rPr>
              <w:t>45</w:t>
            </w:r>
            <w:r>
              <w:rPr>
                <w:sz w:val="20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Мониторинг достижения целевых показателей, установленных указами Президента Российской Федерации 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 мая 2012 года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t>46.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социально-экономического развития Свердловской области, установленных указами Президента Российской Федера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ции от 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 мая 2012 года, от 7 мая 2018 года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№ 204 «О национальных целях и стратегических задачах развития Российской Федерации на период до 2024 года» и от 25 апреля 2019 года № 193 «Об оценке эффективности деятельности высших должностных лиц (руководител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pStyle w:val="Standard"/>
              <w:tabs>
                <w:tab w:val="left" w:pos="3261"/>
              </w:tabs>
              <w:jc w:val="center"/>
            </w:pPr>
            <w:r>
              <w:rPr>
                <w:sz w:val="20"/>
              </w:rPr>
              <w:lastRenderedPageBreak/>
              <w:t>47.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Мониторинг достижения целевых показателей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повышения средней заработной платы отдельным категориям работников бюджетного сектора экономики, определенным в указах Президента Российской Федерации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от 7 мая 2012 года </w:t>
            </w:r>
            <w:hyperlink r:id="rId14" w:history="1">
              <w:r>
                <w:rPr>
                  <w:rFonts w:ascii="Liberation Serif" w:hAnsi="Liberation Serif" w:cs="Liberation Serif"/>
                  <w:sz w:val="20"/>
                  <w:szCs w:val="20"/>
                </w:rPr>
                <w:t>№ 597</w:t>
              </w:r>
            </w:hyperlink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«О мероприятиях по реализации государственной социальной политики», 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от 1 июня 2012 года </w:t>
            </w:r>
            <w:hyperlink r:id="rId15" w:history="1">
              <w:r>
                <w:rPr>
                  <w:rFonts w:ascii="Liberation Serif" w:hAnsi="Liberation Serif" w:cs="Liberation Serif"/>
                  <w:sz w:val="20"/>
                  <w:szCs w:val="20"/>
                </w:rPr>
                <w:t>№ 761</w:t>
              </w:r>
            </w:hyperlink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«О Национальной стратегии действий в интересах детей на 2012–2017 годы»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 от 28 декабря 2012 года </w:t>
            </w:r>
            <w:hyperlink r:id="rId16" w:history="1">
              <w:r>
                <w:rPr>
                  <w:rFonts w:ascii="Liberation Serif" w:hAnsi="Liberation Serif" w:cs="Liberation Serif"/>
                  <w:sz w:val="20"/>
                  <w:szCs w:val="20"/>
                </w:rPr>
                <w:t>№ 1688</w:t>
              </w:r>
            </w:hyperlink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«О некоторых мерах по реализации государственной политики в сфере защиты детей-сирот и детей, оставшихся без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попечения родителей»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Мониторинг реализации </w:t>
            </w:r>
            <w:hyperlink r:id="rId17" w:history="1">
              <w:r>
                <w:rPr>
                  <w:rFonts w:ascii="Liberation Serif" w:hAnsi="Liberation Serif" w:cs="Liberation Serif"/>
                  <w:sz w:val="20"/>
                  <w:szCs w:val="20"/>
                </w:rPr>
                <w:t>Концепции</w:t>
              </w:r>
            </w:hyperlink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повышения качества жизни населения Свердловской области на период до 2030 года – «Новое качество жизни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уральцев»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Мониторинг реализации комплексной программы Свердловской области «Поддержка социально ориентированных некоммерческих организаций в Свердловской области»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Формирование реестра социально ориентированных некоммерческих организаций, которым предоставлены отдельные меры государственной поддержки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рейтинга муниципальных образований, расположенных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 территории Свердловской области, по реализации механизмов поддержки социально ориентированных некоммерческих организаций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взаимодействия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 объединениями работодателей при формировании заявки о потребности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Свердловской области в контрольных цифрах приема в вузы Свердловской области на очередной год за счет средств федерального бюджета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взаимодействия с объединениями работодателей при разработке прогноза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потребности в кадрах 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Свердловской области на плановый период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Обеспечение размещения прогноза баланса трудовых ресурсов Свердловской области и прогноза потребности Свердловской области в подготовке кадров по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укрупненным группам специальностей на сайте Министерства экономики и территориально-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 развития Свердловской области и Инвестиционном портале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55.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Подпрограмма 3 «Совершенствование бюджетной политики,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налоговых инструментов»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Всего по подпрограмме 3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79 571,2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11 462,5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12 240,0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13 546,5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12 191,9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79 571,2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11 462,5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12 240,0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14 141,0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13 546,5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12 191,9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58..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субсидии местным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54 800,0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10 800,0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Организационно-методическое руководство разработкой проектов государственных программ, комплексных программ,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внесение изменений в них; ведение реестра государственных программ и комплексных программ, мониторинг их реализации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3.1.2.1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проверок инвестиционных проектов, финансируемых полностью или частично за счет средств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областного бюджета, на предмет эффективности использования средств областного бюджета, направляемых на капитальные вложения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реестра строительства (реконструкции) объектов, финансируемых полностью или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частично за счет средств областного бюджета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3.1.2.2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Организация разработки проекта Бюджетного послания Губернатора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проектов законов Свердловской области 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налогах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3.1.1.2, 3.1.1.4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Мониторинг предоставления налоговых преференций в Свердловской области. Проведение анализа использования и эффективности применения налоговых преференций, предоставленных законодательством Свердловской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3.1.1.2, 3.1.1.4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Организация присвоения (пересмотра) кредитного рейтинга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14 771,2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1462,5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2146,3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2141,0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1391,9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1 546,5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14 771,2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1462,5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2146,3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2141,0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1391,9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Внедрение механизмов инициативного бюджетирования на территории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3.1.1.1-1–3.1.1.1-3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64 800,0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том числе субсидии местным бюджетам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54 800,0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совместных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мероприятий с бизнес-сообществом по вопросам внесения изменений в региональное законодательство в сфере налогообложения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3.1.1.2,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Размещение в информационно-телекоммуникационной сети «Интернет», на официальном сайте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Министерства экономики и территориального развития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Свердловской области сведений </w:t>
            </w:r>
          </w:p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 действующих мерах налогового стимулирования для юридических лиц и индивидуальных предпринимателей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3.1.1.2,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72.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Подпрограмма 4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«Совершенствование государственного и муниципального управления»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Всего по подпрограмме 4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3 239 307,5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1 245 548,0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964 974,4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1 009 460,2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3193,9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63 000,0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63 000,0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3 176 307,5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1 182 548,0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964 974,4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1 009 460,2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3193,9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3548,7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Оснащение сети многофункциональных центров в муниципальных образованиях, расположенных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 территории Свердловской области (за исключением муниципальных многофункциональных центров) (к)*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230 496,4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168 775,0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61 721,4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4.1.2.1, 4.1.2.2, 4.1.2.3, 4.1.2.4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230 496,4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168 775,0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721,4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Организация работы по повышению эффективности деятельности органов местного самоуправления муниципальных образований, расположенных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на территории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38 281,4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19 408,3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4459,5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1798,3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1645,5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4.1.1.1,</w:t>
            </w:r>
          </w:p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4.1.1.2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38 281,4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19 408,3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4459,5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1798,3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1645,5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зданий и помещений для филиалов многофункциональных центров 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муниципальных образованиях, расположенных на территории Свердловской области (за исключением муниципальных многофункциональных центров)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212 038,2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212 038,2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4.1.2.1, 4.1.2.2, 4.1.2.3, 4.1.2.4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областной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212 038,2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212 038,2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мониторинга удовлетворенности граждан качеством предоставления государственных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 муниципальных услуг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19 630,2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5178,6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4301,1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3440,9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1548,4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4.1.2.3, 4.1.2.4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19 630,2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5178,6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4301,1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3440,9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1548,4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1720,4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Завершение работ по созданию сети многофункциональных центров предоставления государственных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муниципальных услуг, в том числе подготовка зданий и помещений для филиалов многофункционал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ьных центров в муниципальных образованиях, расположенных на территории Свердловской области (за исключением муниципальных многофункциональных центров)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63 000,0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000,0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4.1.2.1, 4.1.2.2, 4.1.2.3, 4.1.2.4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63 000,0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63 000,0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Разработка, доработка, внедрение и техническое сопровождение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автоматизированной информационной системы поддержки деятельности многофункциональных центров, приобретение программного обеспечения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ind w:firstLine="0"/>
              <w:jc w:val="center"/>
              <w:rPr>
                <w:sz w:val="20"/>
              </w:rPr>
            </w:pPr>
          </w:p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27 300,0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27 300,0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4.1.2.1, 4.1.2.2, 4.1.2.3, 4.1.2.4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27 300,0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27 300,0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работы по повышению эффективности деятельности органов местного самоуправления муниципальных образований, расположенных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 территории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2 648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561,3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749 847,9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894 492,4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1 004 221,0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4.1.2.1, 4.1.2.2, 4.1.2.3, 4.1.2.4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2 648 561,3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749 847,9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894 492,4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1 004 221,0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 территории Свердловской области, унитарных предприятий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 учреждений, действующих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 регионально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расположенных на территори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4.1.2.3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Реализация комплекса мероприятий по совершенствованию регуляторной политики, в том числе развитию института оценки регулирующего воздействия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4.1.3.1, 4.1.3.2, 4.1.3.3,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4.1.3.4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 Министерство экономического развития Российской Федерации сводных докладов об осуществлении государственного контроля (надзора) и муниципального контроля в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4.1.3.3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Организация работы по повышению эффективности деятельности исполнительных органов государственной власти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4.1.1.3, 4.1.1.4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94.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Подпрограмма 5 «Обеспечение реализации государственной программы Свердловской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 «Совершенствование социально-экономической политики на территории Свердловской области до 2024 года»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подпрограмме 5</w:t>
            </w:r>
          </w:p>
          <w:p w:rsidR="0068257C" w:rsidRDefault="00F313C7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1 212 896,5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76 319,7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85 238,3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83 601,6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97 080,3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141 734,1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146 227,3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151 555,6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147 </w:t>
            </w: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1 212 896,5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76 319,7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85 238,3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83 601,6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97 080,3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141 734,1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146 227,3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151 555,6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147 334,3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1165,5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1.1.1.4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1165,5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Ведение, обслуживание и развитие сайта «Административная реформа в Свердловской области»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769,5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769,5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4.1.2.3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769,5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769,5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Разработка программного модуля «Стратегическое планирование»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8500,0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8500,0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5.1.1.2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8500,0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8500,0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0,0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Обеспечение деятельности государственных органов (центральный аппарат)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1 202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75 550,2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76 738,3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82 824,6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96 691,8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1.1.1.1–6.1.2.3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1 202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75 550,2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76 738,3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82 824,6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96 691,8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136 471,0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52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Подпрограмма 6 «Развитие системы проектной деятельности в Свердловской области»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подпрограмме 6</w:t>
            </w:r>
          </w:p>
          <w:p w:rsidR="0068257C" w:rsidRDefault="00F313C7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том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числе: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18 148,1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4928,9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5695,7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5923,5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18 148,1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4928,9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5695,7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5923,5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108.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Создание системы профильной подготовки и оценки компетенций участников проектной деятельности в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2918,6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1044,7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2918,6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1044,7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Организация и проведение обучения по курсу управления проектами и сертификации участников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проектной деятельности в 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15 229,5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4691,1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4878,8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6.1.1.1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15 229,5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4059,6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4691,1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4878,8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х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Методическое сопровождение проектной деятельности в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Свердловской области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6.1.2.1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Обеспечение формирования и ведение портфеля проектов (программ), организация ведения реестра предложений по проектам (программам)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6.1.2.2, 6.1.2.3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деятельности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Совета при Губернаторе Свердловской области по приоритетным стратегическим проектам Свердловской области и проектного комитета Свердловской области, организация контроля за исполнением принятых ими решений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6.1.2.2,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6.1.2.3</w:t>
            </w:r>
          </w:p>
        </w:tc>
      </w:tr>
    </w:tbl>
    <w:p w:rsidR="0068257C" w:rsidRDefault="00F313C7">
      <w:pPr>
        <w:spacing w:line="228" w:lineRule="auto"/>
        <w:ind w:firstLine="567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68257C" w:rsidRDefault="00F313C7">
      <w:pPr>
        <w:spacing w:line="228" w:lineRule="auto"/>
        <w:ind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*Ответственным исполнителем мероприятия в 2017 году является Департамент информатизации и связи Свердловской области.</w:t>
      </w:r>
    </w:p>
    <w:p w:rsidR="0068257C" w:rsidRDefault="00F313C7">
      <w:pPr>
        <w:spacing w:line="228" w:lineRule="auto"/>
        <w:ind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(к) – мероприятия, реализуемые по направлению «Капитальные вложения»</w:t>
      </w:r>
      <w:r>
        <w:rPr>
          <w:rFonts w:ascii="Liberation Serif" w:hAnsi="Liberation Serif" w:cs="Liberation Serif"/>
          <w:sz w:val="20"/>
          <w:szCs w:val="20"/>
        </w:rPr>
        <w:t xml:space="preserve"> (строительство, реконструкция, приобретение объектов недвижимого имущества, техническое перевооружение объектов капитального строительства государственной собственности Свердловской области, планируемых объектов муниципальной собственности, подготовка (ко</w:t>
      </w:r>
      <w:r>
        <w:rPr>
          <w:rFonts w:ascii="Liberation Serif" w:hAnsi="Liberation Serif" w:cs="Liberation Serif"/>
          <w:sz w:val="20"/>
          <w:szCs w:val="20"/>
        </w:rPr>
        <w:t>рректировка) проектной документации, приобретение оборудования, не входящего в смету строек, и 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</w:t>
      </w:r>
      <w:r>
        <w:rPr>
          <w:rFonts w:ascii="Liberation Serif" w:hAnsi="Liberation Serif" w:cs="Liberation Serif"/>
          <w:sz w:val="20"/>
          <w:szCs w:val="20"/>
        </w:rPr>
        <w:t>иями).</w:t>
      </w:r>
    </w:p>
    <w:p w:rsidR="0068257C" w:rsidRDefault="0068257C">
      <w:pPr>
        <w:ind w:left="3391" w:firstLine="652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left="3391" w:firstLine="652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left="3391" w:firstLine="652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F313C7">
      <w:pPr>
        <w:ind w:firstLine="8931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68257C" w:rsidRDefault="00F313C7">
      <w:pPr>
        <w:ind w:left="9923" w:hanging="99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68257C" w:rsidRDefault="00F313C7">
      <w:pPr>
        <w:ind w:left="9923" w:hanging="99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68257C" w:rsidRDefault="00F313C7">
      <w:pPr>
        <w:ind w:left="9923" w:hanging="99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68257C" w:rsidRDefault="0068257C">
      <w:pPr>
        <w:ind w:left="9923" w:hanging="284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C" w:rsidRDefault="0068257C">
      <w:pPr>
        <w:widowControl w:val="0"/>
        <w:ind w:firstLine="0"/>
        <w:jc w:val="left"/>
        <w:rPr>
          <w:rFonts w:ascii="Liberation Serif" w:hAnsi="Liberation Serif" w:cs="Liberation Serif"/>
          <w:color w:val="26282F"/>
          <w:sz w:val="26"/>
          <w:szCs w:val="26"/>
          <w:lang w:eastAsia="ru-RU"/>
        </w:rPr>
      </w:pPr>
    </w:p>
    <w:p w:rsidR="0068257C" w:rsidRDefault="00F313C7">
      <w:pPr>
        <w:widowControl w:val="0"/>
        <w:ind w:right="-520" w:firstLine="0"/>
        <w:jc w:val="center"/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  <w:t>ПОКАЗАТЕЛИ И УЧАСТНИКИ</w:t>
      </w:r>
    </w:p>
    <w:p w:rsidR="0068257C" w:rsidRDefault="00F313C7">
      <w:pPr>
        <w:widowControl w:val="0"/>
        <w:ind w:right="-520" w:firstLine="0"/>
        <w:jc w:val="center"/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  <w:t>регионального проекта «Системные меры по повышению производительности труда», являющегося</w:t>
      </w:r>
    </w:p>
    <w:p w:rsidR="0068257C" w:rsidRDefault="00F313C7">
      <w:pPr>
        <w:widowControl w:val="0"/>
        <w:ind w:right="-520" w:firstLine="0"/>
        <w:jc w:val="center"/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  <w:t xml:space="preserve">региональной </w:t>
      </w:r>
      <w:r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  <w:t>составляющей национального проекта «Производительность труда и поддержка занятости»</w:t>
      </w:r>
    </w:p>
    <w:p w:rsidR="0068257C" w:rsidRDefault="0068257C">
      <w:pPr>
        <w:widowControl w:val="0"/>
        <w:ind w:firstLine="0"/>
        <w:jc w:val="center"/>
        <w:rPr>
          <w:rFonts w:ascii="Liberation Serif" w:hAnsi="Liberation Serif" w:cs="Liberation Serif"/>
          <w:b/>
          <w:color w:val="26282F"/>
          <w:sz w:val="28"/>
          <w:szCs w:val="28"/>
          <w:lang w:eastAsia="ru-RU"/>
        </w:rPr>
      </w:pPr>
    </w:p>
    <w:p w:rsidR="0068257C" w:rsidRDefault="0068257C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8257C" w:rsidRDefault="00F313C7">
      <w:pPr>
        <w:ind w:right="-49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Показатели регионального проекта «Системные меры по повышению производительности труда»</w:t>
      </w:r>
    </w:p>
    <w:p w:rsidR="0068257C" w:rsidRDefault="0068257C">
      <w:pPr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60"/>
        <w:gridCol w:w="1275"/>
        <w:gridCol w:w="1560"/>
        <w:gridCol w:w="850"/>
        <w:gridCol w:w="851"/>
        <w:gridCol w:w="850"/>
        <w:gridCol w:w="851"/>
        <w:gridCol w:w="850"/>
        <w:gridCol w:w="851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Базовое значение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</w:tr>
    </w:tbl>
    <w:p w:rsidR="0068257C" w:rsidRDefault="0068257C">
      <w:pPr>
        <w:ind w:firstLine="0"/>
        <w:jc w:val="left"/>
        <w:rPr>
          <w:rFonts w:ascii="Liberation Serif" w:hAnsi="Liberation Serif" w:cs="Liberation Serif"/>
          <w:sz w:val="2"/>
          <w:szCs w:val="2"/>
        </w:rPr>
      </w:pPr>
    </w:p>
    <w:tbl>
      <w:tblPr>
        <w:tblW w:w="5013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104"/>
        <w:gridCol w:w="1560"/>
        <w:gridCol w:w="1275"/>
        <w:gridCol w:w="1560"/>
        <w:gridCol w:w="849"/>
        <w:gridCol w:w="851"/>
        <w:gridCol w:w="850"/>
        <w:gridCol w:w="851"/>
        <w:gridCol w:w="850"/>
        <w:gridCol w:w="851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left="-29"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  <w:t xml:space="preserve">Рост производительности труда на средних </w:t>
            </w:r>
            <w:r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  <w:t xml:space="preserve">и крупных предприятиях базовых несырьевых отраслей экономики, процент </w:t>
            </w:r>
          </w:p>
          <w:p w:rsidR="0068257C" w:rsidRDefault="00F313C7">
            <w:pPr>
              <w:ind w:firstLine="0"/>
              <w:jc w:val="left"/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z w:val="24"/>
                <w:szCs w:val="24"/>
              </w:rPr>
              <w:t>к предшествующему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Arial Unicode MS" w:hAnsi="Liberation Serif" w:cs="Liberation Serif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sz w:val="24"/>
                <w:szCs w:val="24"/>
              </w:rPr>
              <w:t>основной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Arial Unicode MS" w:hAnsi="Liberation Serif" w:cs="Liberation Serif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sz w:val="24"/>
                <w:szCs w:val="24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Arial Unicode MS" w:hAnsi="Liberation Serif" w:cs="Liberation Serif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sz w:val="24"/>
                <w:szCs w:val="24"/>
              </w:rPr>
              <w:t>31.12.2018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104,5</w:t>
            </w:r>
          </w:p>
          <w:p w:rsidR="0068257C" w:rsidRDefault="0068257C">
            <w:pPr>
              <w:tabs>
                <w:tab w:val="left" w:pos="133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left="-29"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left"/>
              <w:rPr>
                <w:rFonts w:ascii="Liberation Serif" w:eastAsia="Arial Unicode MS" w:hAnsi="Liberation Serif" w:cs="Liberation Serif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sz w:val="24"/>
                <w:szCs w:val="24"/>
              </w:rPr>
              <w:t>Вовлечение средних и крупных предприятий базовых несырьевых отраслей экономики в реализацию национального проекта (количество предприятий нарастающим итогом), в том числе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Arial Unicode MS" w:hAnsi="Liberation Serif" w:cs="Liberation Serif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sz w:val="24"/>
                <w:szCs w:val="24"/>
              </w:rPr>
              <w:t>основной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</w:t>
            </w:r>
          </w:p>
        </w:tc>
      </w:tr>
    </w:tbl>
    <w:p w:rsidR="0068257C" w:rsidRDefault="00F313C7">
      <w:pPr>
        <w:pageBreakBefore/>
        <w:widowControl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Участники </w:t>
      </w:r>
      <w:r>
        <w:rPr>
          <w:rFonts w:ascii="Liberation Serif" w:hAnsi="Liberation Serif" w:cs="Liberation Serif"/>
          <w:b/>
          <w:sz w:val="28"/>
          <w:szCs w:val="28"/>
        </w:rPr>
        <w:t>регионального проекта «Системные меры по повышению производительности труда»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br/>
      </w:r>
    </w:p>
    <w:tbl>
      <w:tblPr>
        <w:tblW w:w="15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2268"/>
        <w:gridCol w:w="3827"/>
        <w:gridCol w:w="3544"/>
        <w:gridCol w:w="1872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Роль в региональном проекте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«Системные меры по повышению производительности труда» (далее – региональный проект)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Инициалы,</w:t>
            </w:r>
          </w:p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Непосредственный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Занятость в проекте (процентов)</w:t>
            </w:r>
          </w:p>
        </w:tc>
      </w:tr>
    </w:tbl>
    <w:p w:rsidR="0068257C" w:rsidRDefault="0068257C">
      <w:pPr>
        <w:spacing w:line="12" w:lineRule="auto"/>
        <w:ind w:firstLine="0"/>
        <w:jc w:val="left"/>
      </w:pPr>
    </w:p>
    <w:tbl>
      <w:tblPr>
        <w:tblW w:w="15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3276"/>
        <w:gridCol w:w="2268"/>
        <w:gridCol w:w="3827"/>
        <w:gridCol w:w="3544"/>
        <w:gridCol w:w="1872"/>
      </w:tblGrid>
      <w:tr w:rsidR="0068257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tabs>
                <w:tab w:val="center" w:pos="1663"/>
                <w:tab w:val="right" w:pos="3327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Д.М. Мамонтов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Министр экономики и территориального развития </w:t>
            </w:r>
          </w:p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О.Л. Чемезов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А.А. Корюков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right="-136"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Заместитель Министра экономики и территориального развития Свердловской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Д.М. Мамонтов - Министр экономики и территориального развития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Результат: ежегодное формирование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сводных заявок от предприятий-участников национального проекта  и служб занятости на территории Свердловской области для участия в программе обучения управленческих кадров, вовлеченных в реализацию национального проекта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Ответственный за достижение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результата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Д.М. Мамонтов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Министр экономики и территориального развития </w:t>
            </w:r>
          </w:p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О.Л. Чемезов – Заместитель Губернатора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 регионального проекта: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Д.А. Антонов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Директор Департамента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по труду и занятости населения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О.Л. Чемезов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15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М.М. Волков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строительства и развития инфраструктуры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С.В. Швиндт – Заместитель Губернатора Свердловской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Островская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А.В. Орлов – Первый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10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Пересторонин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Министр промышленности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и науки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А.В. Орлов – Первый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15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Н.Б. Смирнов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энергетики и жилищно-коммунального хозяйства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Швиндт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В.В. Старков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транспорта и дорожного хозяйства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Швиндт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Результат: ежегодное формирование сводных заявок от предприятий-участников национального проекта на территории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Свердловской области для участия в программе поддержки развития экспортного потенциала (экспортный акселератор)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Д.М. Мамонтов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Министр экономики и территориального развития 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Свердловской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О.Л. Чемезов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20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 регионального проекта: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М.М. Волков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строительства и развития инфраструктуры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Швиндт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Островская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А.В. Орлов – Первый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10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Пересторонин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Министр промышленности и науки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А.В. Орлов – Первый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15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Н.Б. Смирнов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энергетики и жилищно-коммунального хозяйства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Швиндт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68257C">
            <w:pPr>
              <w:widowControl w:val="0"/>
              <w:autoSpaceDE w:val="0"/>
              <w:ind w:left="-63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В.В.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Старков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Министр транспорта и дорожного хозяйства 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С.В. Швиндт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5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left="-63"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Результат: координация проведения и участие в организационных мероприятиях, направленных на реализацию регионального </w:t>
            </w: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проекта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widowControl w:val="0"/>
              <w:autoSpaceDE w:val="0"/>
              <w:ind w:left="-63"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Д.М. Мамонтов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 xml:space="preserve">Министр экономики и территориального развития </w:t>
            </w:r>
          </w:p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Свердловской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О.Л. Чемезов – Заместитель Губернатора Свердловской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7C" w:rsidRDefault="00F313C7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</w:rPr>
              <w:t>20</w:t>
            </w:r>
          </w:p>
        </w:tc>
      </w:tr>
    </w:tbl>
    <w:p w:rsidR="00000000" w:rsidRDefault="00F313C7">
      <w:pPr>
        <w:sectPr w:rsidR="00000000">
          <w:headerReference w:type="default" r:id="rId18"/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8257C" w:rsidRDefault="00F313C7">
      <w:pPr>
        <w:tabs>
          <w:tab w:val="left" w:pos="10772"/>
        </w:tabs>
        <w:ind w:firstLine="0"/>
        <w:jc w:val="center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3705221</wp:posOffset>
                </wp:positionH>
                <wp:positionV relativeFrom="paragraph">
                  <wp:posOffset>-478158</wp:posOffset>
                </wp:positionV>
                <wp:extent cx="809628" cy="342900"/>
                <wp:effectExtent l="0" t="0" r="28572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8257C" w:rsidRDefault="0068257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1.75pt;margin-top:-37.65pt;width:63.75pt;height: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JyCAIAAP0DAAAOAAAAZHJzL2Uyb0RvYy54bWysU82O0zAQviPxDpbvNGnoLtuo6Qq2KkJa&#10;AVLhARzHbiz5D9ttUm7ceQXeYQ8cuPEK3Tdi7IRugduKHByPZ/zNN9+MF9e9kmjPnBdGV3g6yTFi&#10;mppG6G2FP35YP7vCyAeiGyKNZhU+MI+vl0+fLDpbssK0RjbMIQDRvuxshdsQbJllnrZMET8xlmlw&#10;cuMUCWC6bdY40gG6klmR55dZZ1xjnaHMezhdDU68TPicMxrece5ZQLLCwC2k1aW1jmu2XJBy64ht&#10;BR1pkEewUERoSHqCWpFA0M6Jf6CUoM54w8OEGpUZzgVlqQaoZpr/Vc2mJZalWkAcb08y+f8HS9/u&#10;3zskGugdRpooaNHx2/Hu+P348/jj/sv9VzSNGnXWlxC6sRAc+lemj/HjuYfDWHrPnYp/KAqBH9Q+&#10;nBRmfUAUDq/y+WUBI0HB9XxWzPPUgezhsnU+vGZGobipsIMGJl3J/tYHSAihv0NiLm+kaNZCymS4&#10;bX0jHdoTaPY6fZEjXPkjTGrUVXh+ATweCxEprIhvh1QJfcwkNSSMag2qxF3o636UqjbNARSE9wK1&#10;tcZ9xqiD2auw/7QjjmEk32ho7nw6m8VhTcbs4kUBhjv31OceoilAVThgNGxvwjDgMGGWhFu9sTQ2&#10;IharzctdMFwkKSO5gdHIGWYsyTW+hzjE53aKeni1y18AAAD//wMAUEsDBBQABgAIAAAAIQBftvy2&#10;4gAAAAsBAAAPAAAAZHJzL2Rvd25yZXYueG1sTI/BTsMwDIbvSLxDZCRuW5pV7brSdEJoICS4UNiB&#10;W9aEpqJxSpNt5e0xJzja/vT7+6vt7AZ2MlPoPUoQywSYwdbrHjsJb6/3iwJYiAq1GjwaCd8mwLa+&#10;vKhUqf0ZX8ypiR2jEAylkmBjHEvOQ2uNU2HpR4N0+/CTU5HGqeN6UmcKdwNfJUnOneqRPlg1mjtr&#10;2s/m6CQU4kvs083+IXvcvfe7jc2fnptcyuur+fYGWDRz/IPhV5/UoSangz+iDmyQkBVpRqiExTpL&#10;gRGxFoLaHWizEinwuuL/O9Q/AAAA//8DAFBLAQItABQABgAIAAAAIQC2gziS/gAAAOEBAAATAAAA&#10;AAAAAAAAAAAAAAAAAABbQ29udGVudF9UeXBlc10ueG1sUEsBAi0AFAAGAAgAAAAhADj9If/WAAAA&#10;lAEAAAsAAAAAAAAAAAAAAAAALwEAAF9yZWxzLy5yZWxzUEsBAi0AFAAGAAgAAAAhAOFGEnIIAgAA&#10;/QMAAA4AAAAAAAAAAAAAAAAALgIAAGRycy9lMm9Eb2MueG1sUEsBAi0AFAAGAAgAAAAhAF+2/Lbi&#10;AAAACwEAAA8AAAAAAAAAAAAAAAAAYgQAAGRycy9kb3ducmV2LnhtbFBLBQYAAAAABAAEAPMAAABx&#10;BQAAAAA=&#10;" strokecolor="white" strokeweight=".26467mm">
                <v:textbox>
                  <w:txbxContent>
                    <w:p w:rsidR="0068257C" w:rsidRDefault="0068257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hAnsi="Liberation Serif" w:cs="Liberation Serif"/>
          <w:b/>
          <w:spacing w:val="60"/>
          <w:sz w:val="24"/>
          <w:szCs w:val="24"/>
        </w:rPr>
        <w:t>ЛИСТ СОГЛАСОВАНИЯ</w:t>
      </w:r>
    </w:p>
    <w:p w:rsidR="0068257C" w:rsidRDefault="00F313C7">
      <w:pPr>
        <w:keepNext/>
        <w:tabs>
          <w:tab w:val="left" w:pos="10772"/>
        </w:tabs>
        <w:ind w:firstLine="0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проекта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постановления Правительства Свердловской области</w:t>
      </w:r>
    </w:p>
    <w:p w:rsidR="0068257C" w:rsidRDefault="0068257C">
      <w:pPr>
        <w:tabs>
          <w:tab w:val="left" w:pos="9214"/>
        </w:tabs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7938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28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92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9214"/>
              </w:tabs>
              <w:ind w:right="822" w:firstLine="0"/>
              <w:jc w:val="left"/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  <w:t xml:space="preserve">«О внесении 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 2024 года», </w:t>
            </w:r>
            <w:r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  <w:t xml:space="preserve">утвержденную постановлением Правительства Свердловской области от 25.12.2014 № 1209-ПП» </w:t>
            </w:r>
          </w:p>
        </w:tc>
      </w:tr>
    </w:tbl>
    <w:p w:rsidR="0068257C" w:rsidRDefault="0068257C">
      <w:pPr>
        <w:tabs>
          <w:tab w:val="left" w:pos="9781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1276"/>
        <w:gridCol w:w="1276"/>
        <w:gridCol w:w="2721"/>
      </w:tblGrid>
      <w:tr w:rsidR="0068257C">
        <w:tblPrEx>
          <w:tblCellMar>
            <w:top w:w="0" w:type="dxa"/>
            <w:bottom w:w="0" w:type="dxa"/>
          </w:tblCellMar>
        </w:tblPrEx>
        <w:tc>
          <w:tcPr>
            <w:tcW w:w="2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527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297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68257C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68257C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257C" w:rsidRDefault="00F313C7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 области</w:t>
            </w:r>
          </w:p>
          <w:p w:rsidR="0068257C" w:rsidRDefault="0068257C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57C" w:rsidRDefault="00F313C7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8257C" w:rsidRDefault="0068257C">
      <w:pPr>
        <w:tabs>
          <w:tab w:val="left" w:pos="10772"/>
        </w:tabs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68257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10772"/>
              </w:tabs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Ответственный за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содержание проекта: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10772"/>
              </w:tabs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Министр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экономики и территориального развития Свердловской области Д.М. Мамонтов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10772"/>
              </w:tabs>
              <w:autoSpaceDE w:val="0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10772"/>
              </w:tabs>
              <w:autoSpaceDE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Пономаренко Наталья Сергеевна, начальник отдела программ и капитальных вложений Министерства экономики и территориального развития Свердловской области, (343) 312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 xml:space="preserve">10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(доб. 121) </w:t>
            </w:r>
          </w:p>
        </w:tc>
      </w:tr>
      <w:tr w:rsidR="0068257C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68257C">
            <w:pPr>
              <w:tabs>
                <w:tab w:val="left" w:pos="10772"/>
              </w:tabs>
              <w:autoSpaceDE w:val="0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57C" w:rsidRDefault="00F313C7">
            <w:pPr>
              <w:tabs>
                <w:tab w:val="left" w:pos="3402"/>
                <w:tab w:val="left" w:pos="10772"/>
              </w:tabs>
              <w:autoSpaceDE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Давыдова Наталья Викторовна, главный специалист отдела программ и капитальных вложений Министерства экономики и территориального развития Свердловской области, (343) 312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10 (доб. 123)</w:t>
            </w:r>
          </w:p>
        </w:tc>
      </w:tr>
    </w:tbl>
    <w:p w:rsidR="0068257C" w:rsidRDefault="0068257C">
      <w:pPr>
        <w:tabs>
          <w:tab w:val="left" w:pos="10772"/>
        </w:tabs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68257C" w:rsidRDefault="0068257C">
      <w:pPr>
        <w:tabs>
          <w:tab w:val="left" w:pos="10772"/>
        </w:tabs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68257C" w:rsidRDefault="0068257C">
      <w:pPr>
        <w:rPr>
          <w:rFonts w:ascii="Liberation Serif" w:hAnsi="Liberation Serif" w:cs="Liberation Serif"/>
        </w:rPr>
      </w:pPr>
    </w:p>
    <w:sectPr w:rsidR="0068257C">
      <w:headerReference w:type="default" r:id="rId19"/>
      <w:headerReference w:type="first" r:id="rId20"/>
      <w:footerReference w:type="first" r:id="rId21"/>
      <w:pgSz w:w="11906" w:h="16838"/>
      <w:pgMar w:top="1134" w:right="1418" w:bottom="113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C7" w:rsidRDefault="00F313C7">
      <w:r>
        <w:separator/>
      </w:r>
    </w:p>
  </w:endnote>
  <w:endnote w:type="continuationSeparator" w:id="0">
    <w:p w:rsidR="00F313C7" w:rsidRDefault="00F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F313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C7" w:rsidRDefault="00F313C7">
      <w:r>
        <w:rPr>
          <w:color w:val="000000"/>
        </w:rPr>
        <w:separator/>
      </w:r>
    </w:p>
  </w:footnote>
  <w:footnote w:type="continuationSeparator" w:id="0">
    <w:p w:rsidR="00F313C7" w:rsidRDefault="00F3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F313C7">
    <w:pPr>
      <w:pStyle w:val="a5"/>
      <w:ind w:firstLine="0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B78CB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F313C7">
    <w:pPr>
      <w:pStyle w:val="a5"/>
      <w:tabs>
        <w:tab w:val="center" w:pos="7707"/>
        <w:tab w:val="left" w:pos="8657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B78CB">
      <w:rPr>
        <w:rFonts w:ascii="Liberation Serif" w:hAnsi="Liberation Serif" w:cs="Liberation Serif"/>
        <w:noProof/>
        <w:sz w:val="28"/>
        <w:szCs w:val="28"/>
      </w:rPr>
      <w:t>21</w:t>
    </w:r>
    <w:r>
      <w:rPr>
        <w:rFonts w:ascii="Liberation Serif" w:hAnsi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F313C7">
    <w:pPr>
      <w:pStyle w:val="a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fldChar w:fldCharType="end"/>
    </w:r>
  </w:p>
  <w:p w:rsidR="00481AD5" w:rsidRDefault="00F313C7">
    <w:pPr>
      <w:pStyle w:val="a5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F313C7">
    <w:pPr>
      <w:pStyle w:val="a5"/>
      <w:ind w:firstLine="0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257C"/>
    <w:rsid w:val="001B78CB"/>
    <w:rsid w:val="0068257C"/>
    <w:rsid w:val="00F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255D-6535-4EA5-992D-DC8FFE1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  <w:ind w:firstLine="709"/>
      <w:jc w:val="both"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b/>
      <w:bCs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  <w:spacing w:after="0"/>
      <w:ind w:firstLine="709"/>
      <w:jc w:val="both"/>
    </w:pPr>
  </w:style>
  <w:style w:type="paragraph" w:customStyle="1" w:styleId="ConsPlusCell">
    <w:name w:val="ConsPlusCell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Calibri" w:eastAsia="Calibri" w:hAnsi="Calibri" w:cs="Times New Roman"/>
    </w:rPr>
  </w:style>
  <w:style w:type="paragraph" w:customStyle="1" w:styleId="Style7">
    <w:name w:val="Style7"/>
    <w:basedOn w:val="a"/>
    <w:pPr>
      <w:widowControl w:val="0"/>
      <w:autoSpaceDE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pPr>
      <w:spacing w:line="3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4"/>
      <w:szCs w:val="24"/>
    </w:rPr>
  </w:style>
  <w:style w:type="character" w:styleId="ad">
    <w:name w:val="Hyperlink"/>
    <w:rPr>
      <w:color w:val="0B7FD6"/>
      <w:u w:val="single"/>
    </w:rPr>
  </w:style>
  <w:style w:type="character" w:styleId="ae">
    <w:name w:val="FollowedHyperlink"/>
    <w:rPr>
      <w:color w:val="954F72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eastAsia="ru-RU"/>
    </w:rPr>
  </w:style>
  <w:style w:type="character" w:customStyle="1" w:styleId="af0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af1">
    <w:name w:val="Подпись Знак"/>
    <w:rPr>
      <w:rFonts w:ascii="Times New Roman" w:eastAsia="Times New Roman" w:hAnsi="Times New Roman"/>
      <w:sz w:val="24"/>
      <w:szCs w:val="24"/>
    </w:rPr>
  </w:style>
  <w:style w:type="paragraph" w:styleId="af2">
    <w:name w:val="Signature"/>
    <w:basedOn w:val="a"/>
    <w:pPr>
      <w:ind w:left="4252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Подпись Знак1"/>
    <w:basedOn w:val="a0"/>
    <w:rPr>
      <w:rFonts w:ascii="Calibri" w:eastAsia="Calibri" w:hAnsi="Calibri" w:cs="Times New Roman"/>
    </w:rPr>
  </w:style>
  <w:style w:type="paragraph" w:styleId="af3">
    <w:name w:val="Body Text"/>
    <w:basedOn w:val="a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6">
    <w:name w:val="Подзаголовок Знак"/>
    <w:basedOn w:val="a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7">
    <w:name w:val="Заголовок к тексту"/>
    <w:basedOn w:val="a"/>
    <w:next w:val="af3"/>
    <w:pPr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8">
    <w:name w:val="Исполнитель"/>
    <w:basedOn w:val="af3"/>
    <w:next w:val="af3"/>
    <w:pPr>
      <w:spacing w:line="240" w:lineRule="exact"/>
      <w:ind w:firstLine="0"/>
      <w:jc w:val="left"/>
    </w:pPr>
    <w:rPr>
      <w:sz w:val="20"/>
      <w:szCs w:val="20"/>
    </w:rPr>
  </w:style>
  <w:style w:type="paragraph" w:customStyle="1" w:styleId="af9">
    <w:name w:val="Приложение"/>
    <w:basedOn w:val="af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a">
    <w:name w:val="Подпись на общем бланке"/>
    <w:next w:val="af8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Подпись на  бланке должностного лица"/>
    <w:basedOn w:val="a"/>
    <w:next w:val="af3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pPr>
      <w:spacing w:before="100" w:after="10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Pa21">
    <w:name w:val="Pa21"/>
    <w:basedOn w:val="a"/>
    <w:pPr>
      <w:autoSpaceDE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character" w:styleId="afc">
    <w:name w:val="Placeholder Text"/>
    <w:rPr>
      <w:color w:val="808080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Calibri" w:hAnsi="Courier New" w:cs="Courier New"/>
      <w:sz w:val="20"/>
      <w:szCs w:val="20"/>
    </w:rPr>
  </w:style>
  <w:style w:type="paragraph" w:customStyle="1" w:styleId="xl64">
    <w:name w:val="xl64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after="100"/>
      <w:ind w:firstLine="0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pPr>
      <w:spacing w:before="100" w:after="100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auto" w:fill="FFFFFF"/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2">
    <w:name w:val="xl11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22">
    <w:name w:val="xl12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styleId="aff2">
    <w:name w:val="Normal (Web)"/>
    <w:basedOn w:val="a"/>
    <w:rPr>
      <w:rFonts w:ascii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Liberation Serif" w:hAnsi="Liberation Serif"/>
      <w:sz w:val="28"/>
      <w:szCs w:val="20"/>
      <w:lang w:eastAsia="ru-RU"/>
    </w:rPr>
  </w:style>
  <w:style w:type="character" w:styleId="aff3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E568B7B32F6BA1618654DBBED39F128EF305BE713CE1E7E8AE0256066599CDC446D4ACF1C9F6pE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CFBC71064A53521C2B0E568B7B32F6BA1618654DCB8D091198EF305BE713CE1E7E8AE0256066599CDC446D4ACF1C9F6pE" TargetMode="External"/><Relationship Id="rId12" Type="http://schemas.openxmlformats.org/officeDocument/2006/relationships/hyperlink" Target="http://www.pravo.gov66.ru" TargetMode="External"/><Relationship Id="rId17" Type="http://schemas.openxmlformats.org/officeDocument/2006/relationships/hyperlink" Target="consultantplus://offline/ref=344CFB8D9225D0CDD23BA8622645CA86BEC58CA749CABCAA3D36A11071349FEEA76C120416BBDA781011431564444206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454650E3AC33807CDF4B541A98ED826ABFA45180F29848F02B295AAFE800D8D871CB3EDE1A85E7CDE8E848917eBL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36ADD5BDEBADDC04DD1A858E97836B6B2A7AF5E13537698CFC444D6B0pF73M" TargetMode="External"/><Relationship Id="rId11" Type="http://schemas.openxmlformats.org/officeDocument/2006/relationships/hyperlink" Target="consultantplus://offline/ref=273585016C1A2692B779FE76867EA6E953D052F9860B53B60D1BA76B01E975BF77C237896D63A3CEBED4A00C93O5B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32454650E3AC33807CDF4B541A98ED825A0F8471C0129848F02B295AAFE800D8D871CB3EDE1A85E7CDE8E848917e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3585016C1A2692B779E07B9012F8E353D905F7870C5FE1564CA13C5EB973EA258269D02F22B0CFB9CAA305965C57752C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FBC71064A53521C2B0E568B7B32F6BA1618654DCBDD094128DAE0FB62830E3E0E7F10743173D95CCDA58D6B0EDCBF4E6" TargetMode="External"/><Relationship Id="rId14" Type="http://schemas.openxmlformats.org/officeDocument/2006/relationships/hyperlink" Target="consultantplus://offline/ref=B32454650E3AC33807CDF4B541A98ED825A1F141190329848F02B295AAFE800D8D871CB3EDE1A85E7CDE8E848917eB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Шмелёва Юлия Евгеньевна</dc:creator>
  <cp:lastModifiedBy>Голышев Владислав Владимирович</cp:lastModifiedBy>
  <cp:revision>2</cp:revision>
  <cp:lastPrinted>2020-02-03T04:16:00Z</cp:lastPrinted>
  <dcterms:created xsi:type="dcterms:W3CDTF">2020-09-07T08:00:00Z</dcterms:created>
  <dcterms:modified xsi:type="dcterms:W3CDTF">2020-09-07T08:00:00Z</dcterms:modified>
</cp:coreProperties>
</file>