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26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О внесении изменений в Указ Губернатора Свердловской области </w:t>
        <w:br/>
        <w:t xml:space="preserve">от 21.04.2014 № 202-УГ «Об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</w:t>
        <w:br/>
        <w:t xml:space="preserve">и муниципальном уровнях, акционерных обществ, контрольный пакет акций которых находится в собственности Свердловской области или </w:t>
        <w:br/>
        <w:t xml:space="preserve">в муниципальной собственности, осуществляющих оказание услуг населению муниципальных образований, расположенных </w:t>
        <w:br/>
        <w:t>на территории Свердловской области»</w:t>
      </w:r>
    </w:p>
    <w:p>
      <w:pPr>
        <w:pStyle w:val="Style26"/>
        <w:spacing w:lineRule="auto" w:line="240" w:before="0" w:after="0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Style26"/>
        <w:spacing w:lineRule="auto" w:line="240" w:before="0" w:after="0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Style26"/>
        <w:autoSpaceDE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В соответствии с пунктом 1 статьи 101 Областного закона от 10 марта </w:t>
        <w:br/>
        <w:t>1999 года № 4-ОЗ «О правовых актах Свердловской области»</w:t>
      </w:r>
    </w:p>
    <w:p>
      <w:pPr>
        <w:pStyle w:val="Style26"/>
        <w:autoSpaceDE w:val="false"/>
        <w:spacing w:lineRule="auto" w:line="240" w:before="0" w:after="0"/>
        <w:jc w:val="both"/>
        <w:rPr/>
      </w:pPr>
      <w:r>
        <w:rPr>
          <w:rStyle w:val="Style14"/>
          <w:rFonts w:cs="Liberation Serif" w:ascii="Liberation Serif" w:hAnsi="Liberation Serif"/>
          <w:b/>
        </w:rPr>
        <w:t>ПОСТАНОВЛЯЮ:</w:t>
      </w:r>
    </w:p>
    <w:p>
      <w:pPr>
        <w:pStyle w:val="ConsPlusTitle"/>
        <w:ind w:firstLine="709"/>
        <w:jc w:val="both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1. Внести в Положение о порядке организации и проведения опросов </w:t>
        <w:br/>
        <w:t>с использованием информационно-телекоммуникационных сетей</w:t>
        <w:br/>
        <w:t xml:space="preserve">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</w:t>
        <w:br/>
        <w:t xml:space="preserve">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области, утвержденное Указом Губернатора Свердловской области от 21.04.2014 № 202-УГ «Об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</w:t>
        <w:br/>
        <w:t>в муниципальной собственности, осуществляющих оказание услуг населению муниципальных образований, расположенных на территории Свердловской области» (Областная газета, 2014, 30 апреля, № 78) с изменениями, внесенными указами Губернатора Свердловской области от 31.10.2014 № 515-УГ, от 06.10.2016 № 568-УГ, от 13.12.2017 № 637-УГ, от 25.09.2018 № 466-УГ и от 27.05.2019</w:t>
        <w:br/>
        <w:t xml:space="preserve">№ 264-УГ (далее – Указ Губернатора Свердловской области от 21.04.2014 </w:t>
        <w:br/>
        <w:t>№ 202-УГ), следующее изменение:</w:t>
      </w:r>
    </w:p>
    <w:p>
      <w:pPr>
        <w:pStyle w:val="ConsPlusTitle"/>
        <w:ind w:firstLine="709"/>
        <w:jc w:val="both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пункт 24 главы 4 после слов «отчетный год» дополнить словами </w:t>
        <w:br/>
        <w:t>«по сравнению с предыдущим годом».</w:t>
      </w:r>
    </w:p>
    <w:p>
      <w:pPr>
        <w:pStyle w:val="ConsPlusTitle"/>
        <w:ind w:firstLine="709"/>
        <w:jc w:val="both"/>
        <w:rPr/>
      </w:pPr>
      <w:r>
        <w:rPr>
          <w:rStyle w:val="Style14"/>
          <w:rFonts w:cs="Liberation Serif" w:ascii="Liberation Serif" w:hAnsi="Liberation Serif"/>
          <w:b w:val="false"/>
          <w:bCs w:val="false"/>
          <w:sz w:val="28"/>
          <w:szCs w:val="28"/>
        </w:rPr>
        <w:t xml:space="preserve">2. Внести в Положение об 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</w:t>
        <w:br/>
        <w:t xml:space="preserve">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</w:t>
      </w:r>
      <w:r>
        <w:rPr>
          <w:rStyle w:val="Style14"/>
          <w:rFonts w:cs="Liberation Serif" w:ascii="Liberation Serif" w:hAnsi="Liberation Serif"/>
          <w:b w:val="false"/>
          <w:sz w:val="28"/>
          <w:szCs w:val="28"/>
        </w:rPr>
        <w:t xml:space="preserve">расположенных на территории Свердловской области, </w:t>
      </w:r>
      <w:r>
        <w:rPr>
          <w:rStyle w:val="Style14"/>
          <w:rFonts w:cs="Liberation Serif" w:ascii="Liberation Serif" w:hAnsi="Liberation Serif"/>
          <w:b w:val="false"/>
          <w:bCs w:val="false"/>
          <w:sz w:val="28"/>
          <w:szCs w:val="28"/>
        </w:rPr>
        <w:t>утвержденное Указом Губернатора Свердловской области от 21.04.2014 № 202-УГ, следующие изменения:</w:t>
      </w:r>
    </w:p>
    <w:p>
      <w:pPr>
        <w:pStyle w:val="ConsPlusTitle"/>
        <w:jc w:val="both"/>
        <w:rPr/>
      </w:pPr>
      <w:r>
        <w:rPr>
          <w:rStyle w:val="Style14"/>
          <w:rFonts w:cs="Liberation Serif" w:ascii="Liberation Serif" w:hAnsi="Liberation Serif"/>
          <w:b w:val="false"/>
          <w:sz w:val="28"/>
          <w:szCs w:val="28"/>
        </w:rPr>
        <w:tab/>
        <w:t xml:space="preserve">1) пункт 9 главы 4 дополнить предложениями следующего содержания </w:t>
        <w:br/>
        <w:t>«</w:t>
      </w:r>
      <w:r>
        <w:rPr>
          <w:rStyle w:val="Style14"/>
          <w:rFonts w:cs="Liberation Serif" w:ascii="Liberation Serif" w:hAnsi="Liberation Serif"/>
          <w:b w:val="false"/>
          <w:bCs w:val="false"/>
          <w:sz w:val="28"/>
          <w:szCs w:val="28"/>
        </w:rPr>
        <w:t>По решению руководителя Экспертной комиссии заседания Экспертной комиссии могут проводиться в заочной форме. При проведении заочного заседания мнение членов Экспертной комиссии по вопросам повестки, поставленным на рассмотрение, определяется путем их письменного опроса (без непосредственного присутствия).»;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пункт 10 главы 4 дополнить предложением следующего содержания </w:t>
        <w:br/>
        <w:t>«При определении кворума заочного заседания учитываются голоса, представленные бюллетенями для голосования, направленные в установленном порядке секретарю Экспертной комиссии.»;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пункт 11 главы 4 после слов «участвующих в заседании.» дополнить предложением следующего содержания «Заочное голосование осуществляется только бюллетенями для голосования.».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 Настоящий указ опубликовать на «Официальном интернет-портале правовой информации Свердловской области» (www.pravo.gov66.ru).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8" w:right="567" w:header="709" w:top="1134" w:footer="0" w:bottom="709" w:gutter="0"/>
          <w:pgNumType w:fmt="decimal"/>
          <w:formProt w:val="false"/>
          <w:titlePg/>
          <w:textDirection w:val="lrTb"/>
          <w:docGrid w:type="default" w:linePitch="600" w:charSpace="24576"/>
        </w:sect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Губернатор</w:t>
        <w:br/>
        <w:t>Свердловской области</w:t>
        <w:tab/>
        <w:tab/>
        <w:tab/>
        <w:tab/>
        <w:tab/>
        <w:tab/>
        <w:tab/>
        <w:t xml:space="preserve">               Е.В. Куйвашев</w:t>
      </w:r>
    </w:p>
    <w:p>
      <w:pPr>
        <w:pStyle w:val="Style26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127000" distL="0" distR="0" simplePos="0" locked="0" layoutInCell="0" allowOverlap="1" relativeHeight="2">
                <wp:simplePos x="0" y="0"/>
                <wp:positionH relativeFrom="column">
                  <wp:posOffset>2907030</wp:posOffset>
                </wp:positionH>
                <wp:positionV relativeFrom="paragraph">
                  <wp:posOffset>-321945</wp:posOffset>
                </wp:positionV>
                <wp:extent cx="495935" cy="2762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27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" fillcolor="white" stroked="f" style="position:absolute;margin-left:228.9pt;margin-top:-25.35pt;width:38.95pt;height:21.65pt;v-text-anchor:middle">
                <w10:wrap type="none"/>
                <v:fill o:detectmouseclick="t" type="solid" color2="black"/>
                <v:stroke color="#41719c" weight="12600" joinstyle="miter" endcap="flat"/>
              </v:shape>
            </w:pict>
          </mc:Fallback>
        </mc:AlternateContent>
      </w:r>
      <w:r>
        <w:rPr>
          <w:rStyle w:val="Style14"/>
          <w:rFonts w:cs="Liberation Serif" w:ascii="Liberation Serif" w:hAnsi="Liberation Serif"/>
          <w:b/>
          <w:spacing w:val="20"/>
          <w:sz w:val="24"/>
          <w:szCs w:val="24"/>
        </w:rPr>
        <w:t>ЛИСТ СОГЛАСОВАНИЯ</w:t>
      </w:r>
    </w:p>
    <w:p>
      <w:pPr>
        <w:pStyle w:val="1"/>
        <w:widowControl/>
        <w:spacing w:lineRule="auto" w:line="24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проекта Указа Губернатора Свердловской области</w:t>
      </w:r>
    </w:p>
    <w:p>
      <w:pPr>
        <w:pStyle w:val="Style26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10035" w:type="dxa"/>
        <w:jc w:val="left"/>
        <w:tblInd w:w="0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40"/>
        <w:gridCol w:w="2758"/>
        <w:gridCol w:w="281"/>
        <w:gridCol w:w="1697"/>
        <w:gridCol w:w="1415"/>
        <w:gridCol w:w="1414"/>
        <w:gridCol w:w="2267"/>
        <w:gridCol w:w="40"/>
        <w:gridCol w:w="123"/>
      </w:tblGrid>
      <w:tr>
        <w:trPr/>
        <w:tc>
          <w:tcPr>
            <w:tcW w:w="2798" w:type="dxa"/>
            <w:gridSpan w:val="2"/>
            <w:tcBorders/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Наименование проекта: </w:t>
            </w:r>
          </w:p>
          <w:p>
            <w:pPr>
              <w:pStyle w:val="Style26"/>
              <w:spacing w:lineRule="auto" w:line="240" w:before="0" w:after="0"/>
              <w:ind w:firstLine="70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237" w:type="dxa"/>
            <w:gridSpan w:val="7"/>
            <w:tcBorders/>
          </w:tcPr>
          <w:p>
            <w:pPr>
              <w:pStyle w:val="Style26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«О внесении изменений в Указ Губернатора Свердловской области от 21.04.2014 № 202-УГ «Об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области»</w:t>
            </w:r>
          </w:p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5136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Сроки и результаты согласования</w:t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0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Инициалы и фамилия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поступ-</w:t>
            </w:r>
          </w:p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ления на согласование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Дата </w:t>
            </w:r>
          </w:p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согласования 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70" w:type="dxa"/>
              <w:right w:w="70" w:type="dxa"/>
            </w:tcMar>
          </w:tcPr>
          <w:p>
            <w:pPr>
              <w:pStyle w:val="Style26"/>
              <w:spacing w:lineRule="auto" w:line="240" w:before="0" w:after="0"/>
              <w:ind w:firstLine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Замечания и подпись </w:t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ind w:firstLine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А.В. Орлов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В.А. Чайников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70" w:type="dxa"/>
              <w:right w:w="70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3079" w:type="dxa"/>
            <w:gridSpan w:val="3"/>
            <w:tcBorders>
              <w:top w:val="single" w:sz="4" w:space="0" w:color="000000"/>
            </w:tcBorders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Ответственный</w:t>
            </w:r>
          </w:p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 содержание проекта: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Министр экономики и территориального развития Свердловской области Д.М. Мамонтов</w:t>
            </w:r>
          </w:p>
        </w:tc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079" w:type="dxa"/>
            <w:gridSpan w:val="3"/>
            <w:tcBorders/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Исполнитель:</w:t>
            </w:r>
          </w:p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Порозова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312-00-10, доб. 191</w:t>
            </w:r>
          </w:p>
        </w:tc>
        <w:tc>
          <w:tcPr>
            <w:tcW w:w="40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3" w:type="dxa"/>
            <w:tcBorders/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079" w:type="dxa"/>
            <w:gridSpan w:val="3"/>
            <w:tcBorders/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Елисеева Марина Юрьевна,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312-00-10, доб. 199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3" w:type="dxa"/>
            <w:tcBorders>
              <w:bottom w:val="single" w:sz="4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Style26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8"/>
        <w:tabs>
          <w:tab w:val="clear" w:pos="709"/>
          <w:tab w:val="left" w:pos="1134" w:leader="none"/>
        </w:tabs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lang w:eastAsia="ru-RU"/>
        </w:rPr>
      </w:r>
    </w:p>
    <w:sectPr>
      <w:headerReference w:type="default" r:id="rId3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Style w:val="Style14"/>
        <w:rFonts w:ascii="Liberation Serif" w:hAnsi="Liberation Serif"/>
      </w:rPr>
      <w:fldChar w:fldCharType="begin"/>
    </w:r>
    <w:r>
      <w:rPr>
        <w:rStyle w:val="Style14"/>
        <w:rFonts w:ascii="Liberation Serif" w:hAnsi="Liberation Serif"/>
      </w:rPr>
      <w:instrText> PAGE </w:instrText>
    </w:r>
    <w:r>
      <w:rPr>
        <w:rStyle w:val="Style14"/>
        <w:rFonts w:ascii="Liberation Serif" w:hAnsi="Liberation Serif"/>
      </w:rPr>
      <w:fldChar w:fldCharType="separate"/>
    </w:r>
    <w:r>
      <w:rPr>
        <w:rStyle w:val="Style14"/>
        <w:rFonts w:ascii="Liberation Serif" w:hAnsi="Liberation Serif"/>
      </w:rPr>
      <w:t>2</w:t>
    </w:r>
    <w:r>
      <w:rPr>
        <w:rStyle w:val="Style14"/>
        <w:rFonts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Style w:val="Style14"/>
        <w:rFonts w:ascii="Liberation Serif" w:hAnsi="Liberation Serif"/>
      </w:rPr>
      <w:fldChar w:fldCharType="begin"/>
    </w:r>
    <w:r>
      <w:rPr>
        <w:rStyle w:val="Style14"/>
        <w:rFonts w:ascii="Liberation Serif" w:hAnsi="Liberation Serif"/>
      </w:rPr>
      <w:instrText> PAGE </w:instrText>
    </w:r>
    <w:r>
      <w:rPr>
        <w:rStyle w:val="Style14"/>
        <w:rFonts w:ascii="Liberation Serif" w:hAnsi="Liberation Serif"/>
      </w:rPr>
      <w:fldChar w:fldCharType="separate"/>
    </w:r>
    <w:r>
      <w:rPr>
        <w:rStyle w:val="Style14"/>
        <w:rFonts w:ascii="Liberation Serif" w:hAnsi="Liberation Serif"/>
      </w:rPr>
      <w:t>0</w:t>
    </w:r>
    <w:r>
      <w:rPr>
        <w:rStyle w:val="Style14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8"/>
        <w:szCs w:val="28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6">
    <w:name w:val="Гиперссылка"/>
    <w:basedOn w:val="Style14"/>
    <w:qFormat/>
    <w:rPr>
      <w:color w:val="0000FF"/>
      <w:u w:val="single"/>
    </w:rPr>
  </w:style>
  <w:style w:type="character" w:styleId="Style17">
    <w:name w:val="Верхний колонтитул Знак"/>
    <w:basedOn w:val="Style14"/>
    <w:qFormat/>
    <w:rPr>
      <w:rFonts w:ascii="Calibri" w:hAnsi="Calibri" w:eastAsia="Times New Roman" w:cs="Times New Roman"/>
      <w:lang w:eastAsia="ru-RU"/>
    </w:rPr>
  </w:style>
  <w:style w:type="character" w:styleId="Style18">
    <w:name w:val="Нижний колонтитул Знак"/>
    <w:basedOn w:val="Style14"/>
    <w:qFormat/>
    <w:rPr>
      <w:rFonts w:ascii="Calibri" w:hAnsi="Calibri" w:eastAsia="Times New Roman" w:cs="Times New Roman"/>
      <w:lang w:eastAsia="ru-RU"/>
    </w:rPr>
  </w:style>
  <w:style w:type="character" w:styleId="Exlabel">
    <w:name w:val="ex-label"/>
    <w:basedOn w:val="Style14"/>
    <w:qFormat/>
    <w:rPr/>
  </w:style>
  <w:style w:type="character" w:styleId="Style19">
    <w:name w:val="Строгий"/>
    <w:basedOn w:val="Style14"/>
    <w:qFormat/>
    <w:rPr>
      <w:b/>
      <w:bCs/>
    </w:rPr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22">
    <w:name w:val="Тема примечания Знак"/>
    <w:basedOn w:val="Style21"/>
    <w:qFormat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styleId="Style23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24">
    <w:name w:val="Выделение"/>
    <w:basedOn w:val="Style14"/>
    <w:qFormat/>
    <w:rPr>
      <w:i/>
      <w:iCs/>
    </w:rPr>
  </w:style>
  <w:style w:type="character" w:styleId="Style25">
    <w:name w:val="Абзац списка Знак"/>
    <w:qFormat/>
    <w:rPr>
      <w:rFonts w:ascii="Times New Roman" w:hAnsi="Times New Roman" w:eastAsia="Times New Roman"/>
      <w:lang w:eastAsia="ru-RU" w:bidi="ru-RU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eastAsia="ru-RU" w:val="ru-RU" w:bidi="ar-SA"/>
    </w:rPr>
  </w:style>
  <w:style w:type="paragraph" w:styleId="Style27">
    <w:name w:val="Body Text"/>
    <w:basedOn w:val="Style26"/>
    <w:pPr>
      <w:widowControl w:val="false"/>
      <w:suppressAutoHyphens w:val="true"/>
      <w:autoSpaceDE w:val="false"/>
      <w:spacing w:lineRule="auto" w:line="240" w:before="0" w:after="0"/>
    </w:pPr>
    <w:rPr>
      <w:rFonts w:ascii="Times New Roman" w:hAnsi="Times New Roman"/>
      <w:lang w:bidi="ru-RU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en-US" w:bidi="ar-SA"/>
    </w:rPr>
  </w:style>
  <w:style w:type="paragraph" w:styleId="Style29">
    <w:name w:val="Абзац списка"/>
    <w:basedOn w:val="Style26"/>
    <w:qFormat/>
    <w:pPr>
      <w:widowControl w:val="false"/>
      <w:tabs>
        <w:tab w:val="clear" w:pos="709"/>
      </w:tabs>
      <w:suppressAutoHyphens w:val="true"/>
      <w:autoSpaceDE w:val="false"/>
      <w:spacing w:lineRule="auto" w:line="240" w:before="0" w:after="0"/>
      <w:ind w:left="497" w:hanging="1"/>
      <w:jc w:val="both"/>
    </w:pPr>
    <w:rPr>
      <w:rFonts w:ascii="Times New Roman" w:hAnsi="Times New Roman"/>
      <w:lang w:bidi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shd w:fill="auto" w:val="clear"/>
      <w:vertAlign w:val="baseline"/>
      <w:em w:val="none"/>
      <w:lang w:eastAsia="ru-RU" w:val="ru-RU" w:bidi="ar-SA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2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3">
    <w:name w:val="Обычный (веб)"/>
    <w:basedOn w:val="Style26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Style34">
    <w:name w:val="Текст примечания"/>
    <w:basedOn w:val="Style26"/>
    <w:qFormat/>
    <w:pPr>
      <w:suppressAutoHyphens w:val="true"/>
      <w:spacing w:lineRule="auto" w:line="240"/>
    </w:pPr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>
      <w:suppressAutoHyphens w:val="true"/>
    </w:pPr>
    <w:rPr>
      <w:b/>
      <w:bCs/>
    </w:rPr>
  </w:style>
  <w:style w:type="paragraph" w:styleId="Style36">
    <w:name w:val="Текст выноски"/>
    <w:basedOn w:val="Style26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>
    <w:name w:val="заголовок 1"/>
    <w:basedOn w:val="Style26"/>
    <w:next w:val="Style26"/>
    <w:qFormat/>
    <w:pPr>
      <w:keepNext w:val="true"/>
      <w:widowControl w:val="false"/>
      <w:suppressAutoHyphens w:val="true"/>
      <w:spacing w:lineRule="auto" w:line="180" w:before="0" w:after="0"/>
      <w:jc w:val="center"/>
    </w:pPr>
    <w:rPr>
      <w:rFonts w:ascii="Times New Roman" w:hAnsi="Times New Roman"/>
      <w:b/>
      <w:szCs w:val="20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3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LibreOffice/7.0.2.2$Linux_X86_64 LibreOffice_project/00$Build-2</Application>
  <Pages>3</Pages>
  <Words>845</Words>
  <Characters>4823</Characters>
  <CharactersWithSpaces>5657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2020-07-22T10:27:00Z</dcterms:created>
  <dc:creator>Вертипрахова Ольга Константиновна</dc:creator>
  <dc:description/>
  <dc:language>ru-RU</dc:language>
  <cp:lastModifiedBy>Елисеева Марина Юрьевна</cp:lastModifiedBy>
  <cp:lastPrinted>2020-10-15T11:04:00Z</cp:lastPrinted>
  <dcterms:modified xsi:type="dcterms:W3CDTF">2020-10-15T11:05:00Z</dcterms:modified>
  <cp:revision>33</cp:revision>
  <dc:subject/>
  <dc:title/>
</cp:coreProperties>
</file>