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92"/>
        <w:rPr>
          <w:rFonts w:ascii="BatangChe" w:hAnsi="BatangChe" w:eastAsia="BatangChe"/>
          <w:sz w:val="28"/>
          <w:szCs w:val="28"/>
        </w:rPr>
      </w:pPr>
      <w:r>
        <w:rPr>
          <w:rFonts w:ascii="BatangChe" w:hAnsi="BatangChe" w:eastAsia="BatangChe"/>
          <w:sz w:val="28"/>
          <w:szCs w:val="28"/>
        </w:rPr>
      </w:r>
      <w:r/>
    </w:p>
    <w:p>
      <w:pPr>
        <w:pStyle w:val="192"/>
        <w:rPr>
          <w:rFonts w:ascii="BatangChe" w:hAnsi="BatangChe" w:eastAsia="BatangChe"/>
          <w:sz w:val="28"/>
          <w:szCs w:val="28"/>
        </w:rPr>
      </w:pPr>
      <w:r>
        <w:rPr>
          <w:rFonts w:ascii="BatangChe" w:hAnsi="BatangChe" w:eastAsia="BatangChe"/>
          <w:sz w:val="28"/>
          <w:szCs w:val="28"/>
        </w:rPr>
      </w:r>
      <w:r/>
    </w:p>
    <w:p>
      <w:pPr>
        <w:pStyle w:val="192"/>
        <w:rPr>
          <w:rFonts w:ascii="BatangChe" w:hAnsi="BatangChe" w:eastAsia="BatangChe"/>
          <w:sz w:val="28"/>
          <w:szCs w:val="28"/>
        </w:rPr>
      </w:pPr>
      <w:r>
        <w:rPr>
          <w:rFonts w:ascii="BatangChe" w:hAnsi="BatangChe" w:eastAsia="BatangChe"/>
          <w:sz w:val="28"/>
          <w:szCs w:val="28"/>
        </w:rPr>
      </w:r>
      <w:r/>
    </w:p>
    <w:p>
      <w:pPr>
        <w:pStyle w:val="192"/>
        <w:rPr>
          <w:rFonts w:ascii="BatangChe" w:hAnsi="BatangChe" w:eastAsia="BatangChe"/>
          <w:sz w:val="28"/>
          <w:szCs w:val="28"/>
        </w:rPr>
      </w:pPr>
      <w:r>
        <w:rPr>
          <w:rFonts w:ascii="BatangChe" w:hAnsi="BatangChe" w:eastAsia="BatangChe"/>
          <w:sz w:val="28"/>
          <w:szCs w:val="28"/>
        </w:rPr>
      </w:r>
      <w:r/>
    </w:p>
    <w:p>
      <w:pPr>
        <w:pStyle w:val="192"/>
        <w:rPr>
          <w:rFonts w:ascii="BatangChe" w:hAnsi="BatangChe" w:eastAsia="BatangChe"/>
          <w:sz w:val="28"/>
          <w:szCs w:val="28"/>
        </w:rPr>
      </w:pPr>
      <w:r>
        <w:rPr>
          <w:rFonts w:ascii="BatangChe" w:hAnsi="BatangChe" w:eastAsia="BatangChe"/>
          <w:sz w:val="28"/>
          <w:szCs w:val="28"/>
        </w:rPr>
      </w:r>
      <w:r/>
    </w:p>
    <w:p>
      <w:pPr>
        <w:pStyle w:val="192"/>
        <w:rPr>
          <w:rFonts w:ascii="BatangChe" w:hAnsi="BatangChe" w:eastAsia="BatangChe"/>
          <w:sz w:val="28"/>
          <w:szCs w:val="28"/>
        </w:rPr>
      </w:pPr>
      <w:r>
        <w:rPr>
          <w:rFonts w:ascii="BatangChe" w:hAnsi="BatangChe" w:eastAsia="BatangChe"/>
          <w:sz w:val="28"/>
          <w:szCs w:val="28"/>
        </w:rPr>
      </w:r>
      <w:r/>
    </w:p>
    <w:p>
      <w:pPr>
        <w:pStyle w:val="192"/>
        <w:rPr>
          <w:rFonts w:ascii="BatangChe" w:hAnsi="BatangChe" w:eastAsia="BatangChe"/>
          <w:sz w:val="28"/>
          <w:szCs w:val="28"/>
        </w:rPr>
      </w:pPr>
      <w:r>
        <w:rPr>
          <w:rFonts w:ascii="BatangChe" w:hAnsi="BatangChe" w:eastAsia="BatangChe"/>
          <w:sz w:val="28"/>
          <w:szCs w:val="28"/>
        </w:rPr>
      </w:r>
      <w:r/>
    </w:p>
    <w:p>
      <w:pPr>
        <w:pStyle w:val="192"/>
        <w:rPr>
          <w:rFonts w:ascii="BatangChe" w:hAnsi="BatangChe" w:eastAsia="BatangChe"/>
          <w:sz w:val="28"/>
          <w:szCs w:val="28"/>
        </w:rPr>
      </w:pPr>
      <w:r>
        <w:rPr>
          <w:rFonts w:ascii="BatangChe" w:hAnsi="BatangChe" w:eastAsia="BatangChe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</w:t>
      </w:r>
      <w:r>
        <w:rPr>
          <w:rFonts w:ascii="Liberation Serif" w:hAnsi="Liberation Serif" w:cs="Liberation Serif"/>
          <w:b/>
        </w:rPr>
        <w:t xml:space="preserve">б утверждении Положения о проведении </w:t>
      </w:r>
      <w:r>
        <w:rPr>
          <w:rFonts w:ascii="Liberation Serif" w:hAnsi="Liberation Serif" w:cs="Liberation Serif"/>
          <w:b/>
        </w:rPr>
        <w:t xml:space="preserve">пилотного </w:t>
      </w:r>
      <w:r>
        <w:rPr>
          <w:rFonts w:ascii="Liberation Serif" w:hAnsi="Liberation Serif" w:cs="Liberation Serif"/>
          <w:b/>
        </w:rPr>
        <w:t xml:space="preserve">конкурса «Лучшие практики наставничества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 xml:space="preserve">– 2019»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 xml:space="preserve">в </w:t>
      </w:r>
      <w:r>
        <w:rPr>
          <w:rFonts w:ascii="Liberation Serif" w:hAnsi="Liberation Serif" w:cs="Liberation Serif"/>
          <w:b/>
        </w:rPr>
        <w:t xml:space="preserve">Свердловской области </w:t>
      </w:r>
      <w:r/>
    </w:p>
    <w:p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</w:t>
      </w:r>
      <w:r/>
    </w:p>
    <w:p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</w:r>
      <w:r/>
    </w:p>
    <w:p>
      <w:pPr>
        <w:ind w:firstLine="709"/>
        <w:jc w:val="both"/>
        <w:rPr>
          <w:rFonts w:ascii="Liberation Serif" w:hAnsi="Liberation Serif" w:cs="Liberation Serif" w:eastAsia="Calibri"/>
          <w:bCs/>
          <w:lang w:eastAsia="en-US"/>
        </w:rPr>
      </w:pPr>
      <w:r>
        <w:rPr>
          <w:rFonts w:ascii="Liberation Serif" w:hAnsi="Liberation Serif" w:cs="Liberation Serif" w:eastAsia="Calibri"/>
          <w:bCs/>
          <w:lang w:eastAsia="en-US"/>
        </w:rPr>
        <w:t xml:space="preserve">По поручению </w:t>
      </w:r>
      <w:r>
        <w:rPr>
          <w:rFonts w:ascii="Liberation Serif" w:hAnsi="Liberation Serif" w:cs="Liberation Serif"/>
        </w:rPr>
        <w:t xml:space="preserve">Первого заместителя Председателя Правительства РФ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Министра финансов А.</w:t>
      </w:r>
      <w:r>
        <w:rPr>
          <w:rFonts w:ascii="Liberation Serif" w:hAnsi="Liberation Serif" w:cs="Liberation Serif"/>
        </w:rPr>
        <w:t xml:space="preserve">Г.</w:t>
      </w:r>
      <w:r>
        <w:rPr>
          <w:rFonts w:ascii="Liberation Serif" w:hAnsi="Liberation Serif" w:cs="Liberation Serif"/>
        </w:rPr>
        <w:t xml:space="preserve"> Силуанова от 22 ноября 2019 года № СА-П13-10211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«</w:t>
      </w:r>
      <w:r>
        <w:rPr>
          <w:rFonts w:ascii="Liberation Serif" w:hAnsi="Liberation Serif" w:cs="Liberation Serif"/>
        </w:rPr>
        <w:t xml:space="preserve">Об осуществлении работы по проведению конкурса </w:t>
      </w:r>
      <w:r>
        <w:rPr>
          <w:rFonts w:ascii="Liberation Serif" w:hAnsi="Liberation Serif" w:cs="Liberation Serif"/>
        </w:rPr>
        <w:t xml:space="preserve">«</w:t>
      </w:r>
      <w:r>
        <w:rPr>
          <w:rFonts w:ascii="Liberation Serif" w:hAnsi="Liberation Serif" w:cs="Liberation Serif"/>
        </w:rPr>
        <w:t xml:space="preserve">Лучшие практики наставничества </w:t>
      </w:r>
      <w:r>
        <w:rPr>
          <w:rFonts w:ascii="Liberation Serif" w:hAnsi="Liberation Serif" w:cs="Liberation Serif"/>
        </w:rPr>
        <w:t xml:space="preserve">–</w:t>
      </w:r>
      <w:r>
        <w:rPr>
          <w:rFonts w:ascii="Liberation Serif" w:hAnsi="Liberation Serif" w:cs="Liberation Serif"/>
        </w:rPr>
        <w:t xml:space="preserve"> 2019</w:t>
      </w:r>
      <w:r>
        <w:rPr>
          <w:rFonts w:ascii="Liberation Serif" w:hAnsi="Liberation Serif" w:cs="Liberation Serif"/>
        </w:rPr>
        <w:t xml:space="preserve">», в</w:t>
      </w:r>
      <w:r>
        <w:rPr>
          <w:rFonts w:ascii="Liberation Serif" w:hAnsi="Liberation Serif" w:cs="Liberation Serif" w:eastAsia="Calibri"/>
          <w:bCs/>
          <w:lang w:eastAsia="en-US"/>
        </w:rPr>
        <w:t xml:space="preserve"> соответствии </w:t>
      </w:r>
      <w:r>
        <w:rPr>
          <w:rFonts w:ascii="Liberation Serif" w:hAnsi="Liberation Serif" w:cs="Liberation Serif" w:eastAsia="Calibri"/>
          <w:bCs/>
          <w:lang w:eastAsia="en-US"/>
        </w:rPr>
        <w:t xml:space="preserve">с </w:t>
      </w:r>
      <w:r>
        <w:rPr>
          <w:rFonts w:ascii="Liberation Serif" w:hAnsi="Liberation Serif" w:cs="Liberation Serif" w:eastAsia="Calibri"/>
          <w:bCs/>
          <w:lang w:eastAsia="en-US"/>
        </w:rPr>
        <w:t xml:space="preserve">Протоколом проектного комитета </w:t>
      </w:r>
      <w:r>
        <w:rPr>
          <w:rFonts w:ascii="Liberation Serif" w:hAnsi="Liberation Serif" w:cs="Liberation Serif" w:eastAsia="Calibri"/>
          <w:bCs/>
          <w:lang w:eastAsia="en-US"/>
        </w:rPr>
        <w:t xml:space="preserve">по национальному проекту «Производительность труда и поддержка занятости» </w:t>
      </w:r>
      <w:r>
        <w:rPr>
          <w:rFonts w:ascii="Liberation Serif" w:hAnsi="Liberation Serif" w:cs="Liberation Serif" w:eastAsia="Calibri"/>
          <w:bCs/>
          <w:lang w:eastAsia="en-US"/>
        </w:rPr>
        <w:br/>
      </w:r>
      <w:r>
        <w:rPr>
          <w:rFonts w:ascii="Liberation Serif" w:hAnsi="Liberation Serif" w:cs="Liberation Serif" w:eastAsia="Calibri"/>
          <w:bCs/>
          <w:lang w:eastAsia="en-US"/>
        </w:rPr>
        <w:t xml:space="preserve">от 11 июня 2019 года № 4 и в</w:t>
      </w:r>
      <w:r>
        <w:rPr>
          <w:rFonts w:ascii="Liberation Serif" w:hAnsi="Liberation Serif" w:cs="Liberation Serif" w:eastAsia="Calibri"/>
          <w:bCs/>
          <w:lang w:eastAsia="en-US"/>
        </w:rPr>
        <w:t xml:space="preserve"> </w:t>
      </w:r>
      <w:r>
        <w:rPr>
          <w:rFonts w:ascii="Liberation Serif" w:hAnsi="Liberation Serif" w:cs="Liberation Serif" w:eastAsia="Calibri"/>
          <w:bCs/>
          <w:lang w:eastAsia="en-US"/>
        </w:rPr>
        <w:t xml:space="preserve">соответствии </w:t>
      </w:r>
      <w:r>
        <w:rPr>
          <w:rFonts w:ascii="Liberation Serif" w:hAnsi="Liberation Serif" w:cs="Liberation Serif" w:eastAsia="Calibri"/>
          <w:bCs/>
          <w:lang w:eastAsia="en-US"/>
        </w:rPr>
        <w:t xml:space="preserve">с пунктом 5.1.4.3 Паспорта Федерального проекта «Системные меры </w:t>
      </w:r>
      <w:r>
        <w:rPr>
          <w:rFonts w:ascii="Liberation Serif" w:hAnsi="Liberation Serif" w:cs="Liberation Serif" w:eastAsia="Calibri"/>
          <w:bCs/>
          <w:lang w:eastAsia="en-US"/>
        </w:rPr>
        <w:t xml:space="preserve">по повышению производительности труда» </w:t>
      </w:r>
      <w:r>
        <w:rPr>
          <w:rFonts w:ascii="Liberation Serif" w:hAnsi="Liberation Serif" w:cs="Liberation Serif" w:eastAsia="Calibri"/>
          <w:bCs/>
          <w:lang w:eastAsia="en-US"/>
        </w:rPr>
        <w:t xml:space="preserve">Министерства экономического развития Российской Федерации»:</w:t>
      </w:r>
      <w:r/>
    </w:p>
    <w:p>
      <w:pPr>
        <w:ind w:firstLine="709"/>
        <w:jc w:val="both"/>
        <w:rPr>
          <w:rFonts w:ascii="Liberation Serif" w:hAnsi="Liberation Serif" w:cs="Liberation Serif" w:eastAsia="Calibri"/>
          <w:bCs/>
          <w:lang w:eastAsia="en-US"/>
        </w:rPr>
      </w:pPr>
      <w:r>
        <w:rPr>
          <w:rFonts w:ascii="Liberation Serif" w:hAnsi="Liberation Serif" w:cs="Liberation Serif" w:eastAsia="Calibri"/>
          <w:bCs/>
          <w:lang w:eastAsia="en-US"/>
        </w:rPr>
        <w:t xml:space="preserve">1.</w:t>
      </w:r>
      <w:r>
        <w:rPr>
          <w:rFonts w:ascii="Liberation Serif" w:hAnsi="Liberation Serif" w:cs="Liberation Serif" w:eastAsia="Calibri"/>
          <w:bCs/>
          <w:lang w:eastAsia="en-US"/>
        </w:rPr>
        <w:t xml:space="preserve">Утвердить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="Calibri"/>
          <w:bCs/>
          <w:lang w:eastAsia="en-US"/>
        </w:rPr>
        <w:t xml:space="preserve"> </w:t>
      </w:r>
      <w:r>
        <w:rPr>
          <w:rFonts w:ascii="Liberation Serif" w:hAnsi="Liberation Serif" w:cs="Liberation Serif" w:eastAsia="Calibri"/>
          <w:bCs/>
          <w:lang w:eastAsia="en-US"/>
        </w:rPr>
        <w:t xml:space="preserve">1) </w:t>
      </w:r>
      <w:hyperlink r:id="rId9" w:history="1">
        <w:r>
          <w:rPr>
            <w:rFonts w:ascii="Liberation Serif" w:hAnsi="Liberation Serif" w:cs="Liberation Serif" w:eastAsia="Calibri"/>
            <w:bCs/>
            <w:color w:val="000000" w:themeColor="text1"/>
            <w:lang w:eastAsia="en-US"/>
          </w:rPr>
          <w:t xml:space="preserve">Положение</w:t>
        </w:r>
      </w:hyperlink>
      <w:r>
        <w:rPr>
          <w:rFonts w:ascii="Liberation Serif" w:hAnsi="Liberation Serif" w:cs="Liberation Serif" w:eastAsia="Calibri"/>
          <w:bCs/>
          <w:color w:val="000000" w:themeColor="text1"/>
          <w:lang w:eastAsia="en-US"/>
        </w:rPr>
        <w:t xml:space="preserve"> </w:t>
      </w:r>
      <w:r>
        <w:rPr>
          <w:rFonts w:ascii="Liberation Serif" w:hAnsi="Liberation Serif" w:cs="Liberation Serif"/>
        </w:rPr>
        <w:t xml:space="preserve">о проведении</w:t>
      </w:r>
      <w:r>
        <w:rPr>
          <w:rFonts w:ascii="Liberation Serif" w:hAnsi="Liberation Serif" w:cs="Liberation Serif"/>
        </w:rPr>
        <w:t xml:space="preserve"> пилотного</w:t>
      </w:r>
      <w:r>
        <w:rPr>
          <w:rFonts w:ascii="Liberation Serif" w:hAnsi="Liberation Serif" w:cs="Liberation Serif"/>
        </w:rPr>
        <w:t xml:space="preserve"> конкурса «Лучшие практики наставничества</w:t>
      </w:r>
      <w:r>
        <w:rPr>
          <w:rFonts w:ascii="Liberation Serif" w:hAnsi="Liberation Serif" w:cs="Liberation Serif"/>
        </w:rPr>
        <w:t xml:space="preserve">– </w:t>
      </w:r>
      <w:r>
        <w:rPr>
          <w:rFonts w:ascii="Liberation Serif" w:hAnsi="Liberation Serif" w:cs="Liberation Serif"/>
        </w:rPr>
        <w:t xml:space="preserve">2019</w:t>
      </w:r>
      <w:r>
        <w:rPr>
          <w:rFonts w:ascii="Liberation Serif" w:hAnsi="Liberation Serif" w:cs="Liberation Serif"/>
        </w:rPr>
        <w:t xml:space="preserve">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(прилагается)</w:t>
      </w:r>
      <w:r>
        <w:rPr>
          <w:rFonts w:ascii="Liberation Serif" w:hAnsi="Liberation Serif" w:cs="Liberation Serif"/>
        </w:rPr>
        <w:t xml:space="preserve">;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</w:t>
      </w:r>
      <w:r>
        <w:rPr>
          <w:rFonts w:ascii="Liberation Serif" w:hAnsi="Liberation Serif" w:cs="Liberation Serif"/>
        </w:rPr>
        <w:t xml:space="preserve">)</w:t>
      </w:r>
      <w:r>
        <w:rPr>
          <w:rFonts w:ascii="Liberation Serif" w:hAnsi="Liberation Serif" w:cs="Liberation Serif"/>
        </w:rPr>
        <w:t xml:space="preserve"> Состав Экспертного совета</w:t>
      </w:r>
      <w:r>
        <w:rPr>
          <w:rFonts w:ascii="Liberation Serif" w:hAnsi="Liberation Serif" w:cs="Liberation Serif"/>
        </w:rPr>
        <w:t xml:space="preserve"> (прилагается)</w:t>
      </w:r>
      <w:r>
        <w:rPr>
          <w:rFonts w:ascii="Liberation Serif" w:hAnsi="Liberation Serif" w:cs="Liberation Serif"/>
        </w:rPr>
        <w:t xml:space="preserve">;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</w:t>
      </w:r>
      <w:r>
        <w:rPr>
          <w:rFonts w:ascii="Liberation Serif" w:hAnsi="Liberation Serif" w:cs="Liberation Serif"/>
        </w:rPr>
        <w:t xml:space="preserve">. Контроль за исполнением распоряжения возложить на Заместителя Губернатора Свердловской области О.Л. Чемезова.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Губернатор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Свердловской области                                                        </w:t>
      </w:r>
      <w:r>
        <w:rPr>
          <w:rFonts w:ascii="Liberation Serif" w:hAnsi="Liberation Serif" w:cs="Liberation Serif"/>
        </w:rPr>
        <w:t xml:space="preserve">                     </w:t>
      </w:r>
      <w:r>
        <w:rPr>
          <w:rFonts w:ascii="Liberation Serif" w:hAnsi="Liberation Serif" w:cs="Liberation Serif"/>
        </w:rPr>
        <w:t xml:space="preserve">Е.В. Куйвашев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left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Приложение № 1 </w:t>
      </w:r>
      <w:r>
        <w:rPr>
          <w:rFonts w:ascii="Liberation Serif" w:hAnsi="Liberation Serif" w:cs="Liberation Serif"/>
          <w:bCs/>
        </w:rPr>
        <w:br/>
      </w:r>
      <w:r>
        <w:rPr>
          <w:rFonts w:ascii="Liberation Serif" w:hAnsi="Liberation Serif" w:cs="Liberation Serif"/>
          <w:bCs/>
        </w:rPr>
        <w:t xml:space="preserve">к</w:t>
      </w:r>
      <w:r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 xml:space="preserve">Распоряжени</w:t>
      </w:r>
      <w:r>
        <w:rPr>
          <w:rFonts w:ascii="Liberation Serif" w:hAnsi="Liberation Serif" w:cs="Liberation Serif"/>
          <w:bCs/>
        </w:rPr>
        <w:t xml:space="preserve">ю</w:t>
      </w:r>
      <w:r>
        <w:rPr>
          <w:rFonts w:ascii="Liberation Serif" w:hAnsi="Liberation Serif" w:cs="Liberation Serif"/>
          <w:bCs/>
        </w:rPr>
        <w:t xml:space="preserve"> Губернатора Свердловской области </w:t>
      </w:r>
      <w:r/>
    </w:p>
    <w:p>
      <w:pPr>
        <w:ind w:left="5387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</w:t>
      </w:r>
      <w:r>
        <w:rPr>
          <w:rFonts w:ascii="Liberation Serif" w:hAnsi="Liberation Serif" w:cs="Liberation Serif"/>
          <w:bCs/>
        </w:rPr>
        <w:t xml:space="preserve">т </w:t>
      </w:r>
      <w:r>
        <w:rPr>
          <w:rFonts w:ascii="Liberation Serif" w:hAnsi="Liberation Serif" w:cs="Liberation Serif"/>
          <w:bCs/>
        </w:rPr>
        <w:t xml:space="preserve">___________№____________</w:t>
      </w:r>
      <w:r/>
    </w:p>
    <w:p>
      <w:pPr>
        <w:ind w:left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 xml:space="preserve">Об утверждении Положения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о проведении</w:t>
      </w:r>
      <w:r>
        <w:rPr>
          <w:rFonts w:ascii="Liberation Serif" w:hAnsi="Liberation Serif" w:cs="Liberation Serif"/>
        </w:rPr>
        <w:t xml:space="preserve"> пилотного</w:t>
      </w:r>
      <w:r>
        <w:rPr>
          <w:rFonts w:ascii="Liberation Serif" w:hAnsi="Liberation Serif" w:cs="Liberation Serif"/>
        </w:rPr>
        <w:t xml:space="preserve"> конкурса «Лучшие практики наставничества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– 20</w:t>
      </w:r>
      <w:r>
        <w:rPr>
          <w:rFonts w:ascii="Liberation Serif" w:hAnsi="Liberation Serif" w:cs="Liberation Serif"/>
        </w:rPr>
        <w:t xml:space="preserve">19</w:t>
      </w:r>
      <w:r>
        <w:rPr>
          <w:rFonts w:ascii="Liberation Serif" w:hAnsi="Liberation Serif" w:cs="Liberation Serif"/>
        </w:rPr>
        <w:t xml:space="preserve">» </w:t>
      </w:r>
      <w:r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br/>
      </w:r>
      <w:r/>
    </w:p>
    <w:p>
      <w:pPr>
        <w:ind w:firstLine="54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  <w:r/>
    </w:p>
    <w:p>
      <w:pPr>
        <w:ind w:firstLine="54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  <w:r/>
    </w:p>
    <w:p>
      <w:pPr>
        <w:ind w:firstLine="54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ПОЛОЖЕНИЕ</w:t>
      </w:r>
      <w:r>
        <w:rPr>
          <w:rFonts w:ascii="Liberation Serif" w:hAnsi="Liberation Serif" w:cs="Liberation Serif"/>
          <w:b/>
          <w:bCs/>
        </w:rPr>
        <w:br/>
        <w:t xml:space="preserve">о проведении </w:t>
      </w:r>
      <w:r>
        <w:rPr>
          <w:rFonts w:ascii="Liberation Serif" w:hAnsi="Liberation Serif" w:cs="Liberation Serif"/>
          <w:b/>
          <w:bCs/>
        </w:rPr>
        <w:t xml:space="preserve">пилотного </w:t>
      </w:r>
      <w:r>
        <w:rPr>
          <w:rFonts w:ascii="Liberation Serif" w:hAnsi="Liberation Serif" w:cs="Liberation Serif"/>
          <w:b/>
          <w:bCs/>
        </w:rPr>
        <w:t xml:space="preserve">конкурса </w:t>
      </w:r>
      <w:r>
        <w:rPr>
          <w:rFonts w:ascii="Liberation Serif" w:hAnsi="Liberation Serif" w:cs="Liberation Serif"/>
          <w:b/>
        </w:rPr>
        <w:t xml:space="preserve">«Лучшие практики </w:t>
      </w:r>
      <w:r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 xml:space="preserve">наставничества – 20</w:t>
      </w:r>
      <w:r>
        <w:rPr>
          <w:rFonts w:ascii="Liberation Serif" w:hAnsi="Liberation Serif" w:cs="Liberation Serif"/>
          <w:b/>
        </w:rPr>
        <w:t xml:space="preserve">19</w:t>
      </w:r>
      <w:r>
        <w:rPr>
          <w:rFonts w:ascii="Liberation Serif" w:hAnsi="Liberation Serif" w:cs="Liberation Serif"/>
          <w:b/>
        </w:rPr>
        <w:t xml:space="preserve">» </w:t>
      </w:r>
      <w:r>
        <w:rPr>
          <w:rFonts w:ascii="Liberation Serif" w:hAnsi="Liberation Serif" w:cs="Liberation Serif"/>
          <w:b/>
        </w:rPr>
        <w:t xml:space="preserve">в Свердловской области</w:t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1. Цели и задачи проведения Конкурса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1.1. Цель конкурса «Лучшие практики наставничества </w:t>
      </w:r>
      <w:r>
        <w:rPr>
          <w:rFonts w:ascii="Liberation Serif" w:hAnsi="Liberation Serif" w:cs="Liberation Serif"/>
        </w:rPr>
        <w:t xml:space="preserve">– 2019»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 (далее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Конкурс)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выявление и распространение передового практического опыта наставничества для повышения производительности труда, поощрения и признания наставников, внесших значительный вклад в развитие наставничества и тиражирование эффективных практик наставничества в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1.2. Задача Конкурса – поиск и отбор успешных практик наставничества, для их дальнейшей популяризации, тиражирования и внедрения в </w:t>
      </w:r>
      <w:r>
        <w:rPr>
          <w:rFonts w:ascii="Liberation Serif" w:hAnsi="Liberation Serif" w:cs="Liberation Serif"/>
        </w:rPr>
        <w:t xml:space="preserve">Свердловской области.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1.3. Конкурсный отбор основывается на принципах законности, гласности, открытости, привлечения широкого круга общественности и признанных экспертов в предметной области. </w:t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2. Термины и определения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2.1. Высшее должностное лицо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 xml:space="preserve">Г</w:t>
      </w:r>
      <w:r>
        <w:rPr>
          <w:rFonts w:ascii="Liberation Serif" w:hAnsi="Liberation Serif" w:cs="Liberation Serif"/>
        </w:rPr>
        <w:t xml:space="preserve">убернатор</w:t>
      </w:r>
      <w:r>
        <w:rPr>
          <w:rFonts w:ascii="Liberation Serif" w:hAnsi="Liberation Serif" w:cs="Liberation Serif"/>
        </w:rPr>
        <w:t xml:space="preserve">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2.2. Уполномоченный орган исполнительной власти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сфере экономического развития – Министерство </w:t>
      </w:r>
      <w:r>
        <w:rPr>
          <w:rFonts w:ascii="Liberation Serif" w:hAnsi="Liberation Serif" w:cs="Liberation Serif"/>
        </w:rPr>
        <w:t xml:space="preserve">экономики и территориального </w:t>
      </w:r>
      <w:r>
        <w:rPr>
          <w:rFonts w:ascii="Liberation Serif" w:hAnsi="Liberation Serif" w:cs="Liberation Serif"/>
        </w:rPr>
        <w:t xml:space="preserve">развития</w:t>
      </w:r>
      <w:r>
        <w:rPr>
          <w:rFonts w:ascii="Liberation Serif" w:hAnsi="Liberation Serif" w:cs="Liberation Serif"/>
        </w:rPr>
        <w:t xml:space="preserve"> Свердловской области.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2.3. Юридические лица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 (организации участники)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предприятия, учреждения и организации, вне зависимости от формы собственности, ведомственной принадлежности и сферы хозяйственной деятельности.</w:t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3. Организаторы Конкурса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3.1. Организатором Конкурса является уполномоченный орган исполнительной власти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 в сфере экономического развития (далее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Организатор) при содействии </w:t>
      </w:r>
      <w:r>
        <w:rPr>
          <w:rFonts w:ascii="Liberation Serif" w:hAnsi="Liberation Serif" w:cs="Liberation Serif"/>
        </w:rPr>
        <w:t xml:space="preserve">Аппарата Губернатора Свердловской области и Правительства Свердловской области, </w:t>
      </w:r>
      <w:r>
        <w:rPr>
          <w:rFonts w:ascii="Liberation Serif" w:hAnsi="Liberation Serif" w:cs="Liberation Serif"/>
        </w:rPr>
        <w:t xml:space="preserve">Министерства промышленности и науки Свердловской области</w:t>
      </w:r>
      <w:r>
        <w:rPr>
          <w:rFonts w:ascii="Liberation Serif" w:hAnsi="Liberation Serif" w:cs="Liberation Serif"/>
        </w:rPr>
        <w:t xml:space="preserve">,</w:t>
      </w:r>
      <w:r>
        <w:rPr>
          <w:rFonts w:ascii="Liberation Serif" w:hAnsi="Liberation Serif" w:cs="Liberation Serif"/>
        </w:rPr>
        <w:t xml:space="preserve"> Министерства образования и молодежной политики Свердловской области,</w:t>
      </w:r>
      <w:r>
        <w:rPr>
          <w:rFonts w:ascii="Liberation Serif" w:hAnsi="Liberation Serif" w:cs="Liberation Serif"/>
        </w:rPr>
        <w:t xml:space="preserve"> Департамент</w:t>
      </w:r>
      <w:r>
        <w:rPr>
          <w:rFonts w:ascii="Liberation Serif" w:hAnsi="Liberation Serif" w:cs="Liberation Serif"/>
        </w:rPr>
        <w:t xml:space="preserve">а</w:t>
      </w:r>
      <w:r>
        <w:rPr>
          <w:rFonts w:ascii="Liberation Serif" w:hAnsi="Liberation Serif" w:cs="Liberation Serif"/>
        </w:rPr>
        <w:t xml:space="preserve"> информационной политики Свердловской области</w:t>
      </w:r>
      <w:r>
        <w:rPr>
          <w:rFonts w:ascii="Liberation Serif" w:hAnsi="Liberation Serif" w:cs="Liberation Serif"/>
        </w:rPr>
        <w:t xml:space="preserve">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Департамента по труду и занятости населения Свердловской области</w:t>
      </w:r>
      <w:r>
        <w:rPr>
          <w:rFonts w:ascii="Liberation Serif" w:hAnsi="Liberation Serif" w:cs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 Организатор Конкурса выполняет следующие функции: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3.2.1. Подготовка Конкурса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3.2.1.1. подготовка Положения о Конкурсе и его утверждение;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3.2.1.2. формирование Экспертного совета</w:t>
      </w:r>
      <w:r>
        <w:rPr>
          <w:rFonts w:ascii="Liberation Serif" w:hAnsi="Liberation Serif" w:cs="Liberation Serif"/>
        </w:rPr>
        <w:t xml:space="preserve">, включающего </w:t>
      </w:r>
      <w:r>
        <w:rPr>
          <w:rFonts w:ascii="Liberation Serif" w:hAnsi="Liberation Serif" w:cs="Liberation Serif"/>
        </w:rPr>
        <w:t xml:space="preserve">экспертны</w:t>
      </w:r>
      <w:r>
        <w:rPr>
          <w:rFonts w:ascii="Liberation Serif" w:hAnsi="Liberation Serif" w:cs="Liberation Serif"/>
        </w:rPr>
        <w:t xml:space="preserve">е</w:t>
      </w:r>
      <w:r>
        <w:rPr>
          <w:rFonts w:ascii="Liberation Serif" w:hAnsi="Liberation Serif" w:cs="Liberation Serif"/>
        </w:rPr>
        <w:t xml:space="preserve"> групп</w:t>
      </w:r>
      <w:r>
        <w:rPr>
          <w:rFonts w:ascii="Liberation Serif" w:hAnsi="Liberation Serif" w:cs="Liberation Serif"/>
        </w:rPr>
        <w:t xml:space="preserve">ы</w:t>
      </w:r>
      <w:r>
        <w:rPr>
          <w:rFonts w:ascii="Liberation Serif" w:hAnsi="Liberation Serif" w:cs="Liberation Serif"/>
        </w:rPr>
        <w:t xml:space="preserve"> по номинациям</w:t>
      </w:r>
      <w:r>
        <w:rPr>
          <w:rFonts w:ascii="Liberation Serif" w:hAnsi="Liberation Serif" w:cs="Liberation Serif"/>
        </w:rPr>
        <w:t xml:space="preserve"> (далее – Экспертный совет)</w:t>
      </w:r>
      <w:r>
        <w:rPr>
          <w:rFonts w:ascii="Liberation Serif" w:hAnsi="Liberation Serif" w:cs="Liberation Serif"/>
        </w:rPr>
        <w:t xml:space="preserve">;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3.2.1.3. утверждение состава Экспертного совета;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3.2.1.4. информационное обеспечение Конкурса;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3.2.2. Проведение Конкурса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3.2.2.1. прием и обработка заявок на участие в Конкурсе (далее </w:t>
      </w:r>
      <w:r>
        <w:rPr>
          <w:rFonts w:ascii="Liberation Serif" w:hAnsi="Liberation Serif" w:cs="Liberation Serif"/>
        </w:rPr>
        <w:t xml:space="preserve">− Заявки);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3.2.2.2. представление Заявок на рассмотрение экспертных групп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по номинациям;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3.2.2.3. организация заседаний Экспертных групп;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3.2.2.4. оформление решений Экспертных гр</w:t>
      </w:r>
      <w:r>
        <w:rPr>
          <w:rFonts w:ascii="Liberation Serif" w:hAnsi="Liberation Serif" w:cs="Liberation Serif"/>
        </w:rPr>
        <w:t xml:space="preserve">упп о победителях и финалистах;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3.2.3. Награждение победителей и финалистов Конкурса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3.2.3.1. подготовка наград для победителей и финалистов Конкурса;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3.2.3.2. организация церемонии закрытия Конкурса, вручение наград победителям и финалистам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3.2.4. Распространение и тиражирование </w:t>
      </w:r>
      <w:r>
        <w:rPr>
          <w:rFonts w:ascii="Liberation Serif" w:hAnsi="Liberation Serif" w:cs="Liberation Serif"/>
        </w:rPr>
        <w:t xml:space="preserve">передового опыта наставничества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3.2.4.1. отбор не менее 3 (трех) лучших практик наставничества;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3.2.4.2. организация популяризации и тиражирования передового опыта наставничества, оформление методических рекомендаций.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3.3. Организатор Конкурса обеспечивает: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3.3.1. равные условия для всех участников Конкурса;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3.3.2. широкую гласность проведения Конкурса;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3.3.3. недопущение разглашения сведений о результатах Конкурса ранее даты их официального объявления. </w:t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4. Участники Конкурса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4.1. К участию в Конкурсе приглашаются н</w:t>
      </w:r>
      <w:r>
        <w:rPr>
          <w:rFonts w:ascii="Liberation Serif" w:hAnsi="Liberation Serif" w:cs="Liberation Serif"/>
        </w:rPr>
        <w:t xml:space="preserve">осители практик наставничества.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4.2. Заявки на Конкурс могут поступать от юридических лиц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4.3. Участие в конкурсе является бесплатным.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4.4. Участники Конкурса несут расходы, связанные с подготовкой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 представлением своей Заявки на Конкурс, проездом и проживанием в месте проведения торжественной церемонии награждения победителей Конкурса. </w:t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5. Номинации Конкурса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5.1. Конкурс проводится в следующих номинациях: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5.1.1. «Наставничество в области повышения производительности труда» — Профессиональные установки и практики наставничества, связанные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с формированием потребностей в профессиональном развитии и поддержке карьеры, передачей ценностей, знаний </w:t>
      </w:r>
      <w:r>
        <w:rPr>
          <w:rFonts w:ascii="Liberation Serif" w:hAnsi="Liberation Serif" w:cs="Liberation Serif"/>
        </w:rPr>
        <w:t xml:space="preserve">и навыков в области повышения производительности труда и бережливого производства, формирования требуемых профессиональных качеств и адаптации к рабочему месту, коллективу, производственной среде, включая смену профессии и профессиональную переподготовку.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5.1.2. «Наставничество в профессиональном самоопределении» — Профессиональные установки и практики нас</w:t>
      </w:r>
      <w:r>
        <w:rPr>
          <w:rFonts w:ascii="Liberation Serif" w:hAnsi="Liberation Serif" w:cs="Liberation Serif"/>
        </w:rPr>
        <w:t xml:space="preserve">тавничества, связанные с анализом состояния рынка труда и потребностей предприятий в квалифицированных кадрах, профессиональным информированием и консультированием о современных видах производства и перспективах развития рынка профессий, формах и условиях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их освоения; требованиях, предъявляемых профессиями; оказание помощи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профессиональном самоопределении (с целью принятия осознанного решения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о выборе профессионального пути), определение степени профессиональной пригодности к конкретной профессии (в соответствии с нормативными требованиями).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5.1.3. «Наставничество в профессиональном развитии молодежи»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Профессиональные установки и практики наставничества, связанные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с формированием у молодёжи функциональной с</w:t>
      </w:r>
      <w:r>
        <w:rPr>
          <w:rFonts w:ascii="Liberation Serif" w:hAnsi="Liberation Serif" w:cs="Liberation Serif"/>
        </w:rPr>
        <w:t xml:space="preserve">труктуры трудовой деятельности и соответствующих качеств (трудолюбия, работоспособности, профессиональной ответственности) и способностей, сопровождаемые приобретением обучающимися первоначального практического опыта в условиях образовательных организаций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 реального п</w:t>
      </w:r>
      <w:r>
        <w:rPr>
          <w:rFonts w:ascii="Liberation Serif" w:hAnsi="Liberation Serif" w:cs="Liberation Serif"/>
        </w:rPr>
        <w:t xml:space="preserve">роизводства, закреплением и совершенствованием профессиональных знаний и умений, освоением современных производственных процессов, адаптацией к конкретным условиям деятельности предприятий (при прохождении обучающимися учебной и производственной практики)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5.1.4. «Наставничество в области прорывных технологий»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Профессиональные установки и практики наставничества, связанные с развитием научно-исследовательской и опытно-конструкторской деятельности в условиях корпоративной культуры, освоением прорывных технологий, требующих принятия стратегичес</w:t>
      </w:r>
      <w:r>
        <w:rPr>
          <w:rFonts w:ascii="Liberation Serif" w:hAnsi="Liberation Serif" w:cs="Liberation Serif"/>
        </w:rPr>
        <w:t xml:space="preserve">ких решений и использования научных и материально- технических ресурсов, представляющих собой передовой рубеж развития науки и техники (включая цифровые и аддитивные технологии, робототехнику, системы безопасности, социально-ориентированные технологии и др</w:t>
      </w:r>
      <w:r>
        <w:rPr>
          <w:rFonts w:ascii="Liberation Serif" w:hAnsi="Liberation Serif" w:cs="Liberation Serif"/>
        </w:rPr>
        <w:t xml:space="preserve">угие</w:t>
      </w:r>
      <w:r>
        <w:rPr>
          <w:rFonts w:ascii="Liberation Serif" w:hAnsi="Liberation Serif" w:cs="Liberation Serif"/>
        </w:rPr>
        <w:t xml:space="preserve">). </w:t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6. Сроки и порядок проведения Конкурса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6.1. Конкурс проводится ежегодно. Сроки проведения Конкурса: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6.1.1. Подготовка Конкурса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декабрь</w:t>
      </w:r>
      <w:r>
        <w:rPr>
          <w:rFonts w:ascii="Liberation Serif" w:hAnsi="Liberation Serif" w:cs="Liberation Serif"/>
        </w:rPr>
        <w:t xml:space="preserve"> 20</w:t>
      </w:r>
      <w:r>
        <w:rPr>
          <w:rFonts w:ascii="Liberation Serif" w:hAnsi="Liberation Serif" w:cs="Liberation Serif"/>
        </w:rPr>
        <w:t xml:space="preserve">19 года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6.1.2. Проведение Конкурса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декабрь </w:t>
      </w:r>
      <w:r>
        <w:rPr>
          <w:rFonts w:ascii="Liberation Serif" w:hAnsi="Liberation Serif" w:cs="Liberation Serif"/>
        </w:rPr>
        <w:t xml:space="preserve">20</w:t>
      </w:r>
      <w:r>
        <w:rPr>
          <w:rFonts w:ascii="Liberation Serif" w:hAnsi="Liberation Serif" w:cs="Liberation Serif"/>
        </w:rPr>
        <w:t xml:space="preserve">19 года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6.1.3. Награждение победителей и финалистов Конкурса – </w:t>
      </w:r>
      <w:r>
        <w:rPr>
          <w:rFonts w:ascii="Liberation Serif" w:hAnsi="Liberation Serif" w:cs="Liberation Serif"/>
        </w:rPr>
        <w:t xml:space="preserve">январь</w:t>
      </w:r>
      <w:r>
        <w:rPr>
          <w:rFonts w:ascii="Liberation Serif" w:hAnsi="Liberation Serif" w:cs="Liberation Serif"/>
        </w:rPr>
        <w:t xml:space="preserve"> 20</w:t>
      </w:r>
      <w:r>
        <w:rPr>
          <w:rFonts w:ascii="Liberation Serif" w:hAnsi="Liberation Serif" w:cs="Liberation Serif"/>
        </w:rPr>
        <w:t xml:space="preserve">20</w:t>
      </w:r>
      <w:r>
        <w:rPr>
          <w:rFonts w:ascii="Liberation Serif" w:hAnsi="Liberation Serif" w:cs="Liberation Serif"/>
        </w:rPr>
        <w:t xml:space="preserve"> года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6.1.4. Распространение и тиражирование передового опыта – </w:t>
      </w:r>
      <w:r>
        <w:rPr>
          <w:rFonts w:ascii="Liberation Serif" w:hAnsi="Liberation Serif" w:cs="Liberation Serif"/>
        </w:rPr>
        <w:t xml:space="preserve">январь </w:t>
      </w:r>
      <w:r>
        <w:rPr>
          <w:rFonts w:ascii="Liberation Serif" w:hAnsi="Liberation Serif" w:cs="Liberation Serif"/>
        </w:rPr>
        <w:t xml:space="preserve">20</w:t>
      </w:r>
      <w:r>
        <w:rPr>
          <w:rFonts w:ascii="Liberation Serif" w:hAnsi="Liberation Serif" w:cs="Liberation Serif"/>
        </w:rPr>
        <w:t xml:space="preserve">20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года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6.2. Организатор Конкурса обеспечивает широкое информирование о старте Конкурса. Сроки подачи документов на Конкурс устанавливаются Организатором Конкурса и размещаются на информационном портале Конкурса</w:t>
      </w:r>
      <w:r>
        <w:rPr>
          <w:rFonts w:ascii="Liberation Serif" w:hAnsi="Liberation Serif" w:cs="Liberation Serif"/>
        </w:rPr>
        <w:t xml:space="preserve">,</w:t>
      </w:r>
      <w:r>
        <w:rPr>
          <w:rFonts w:ascii="Liberation Serif" w:hAnsi="Liberation Serif" w:cs="Liberation Serif"/>
        </w:rPr>
        <w:t xml:space="preserve"> либо доводятся до целевой аудитории иным способом, установленным Организатором Конкурса</w:t>
      </w:r>
      <w:r>
        <w:rPr>
          <w:rFonts w:ascii="Liberation Serif" w:hAnsi="Liberation Serif" w:cs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6.3. Для участия в Конкурсе организация-участник направляет Организатору Конкурса Заявку (Приложение № 1</w:t>
      </w:r>
      <w:r>
        <w:rPr>
          <w:rFonts w:ascii="Liberation Serif" w:hAnsi="Liberation Serif" w:cs="Liberation Serif"/>
        </w:rPr>
        <w:t xml:space="preserve"> к настоящему Положению</w:t>
      </w:r>
      <w:r>
        <w:rPr>
          <w:rFonts w:ascii="Liberation Serif" w:hAnsi="Liberation Serif" w:cs="Liberation Serif"/>
        </w:rPr>
        <w:t xml:space="preserve">)</w:t>
      </w:r>
      <w:r>
        <w:rPr>
          <w:rFonts w:ascii="Liberation Serif" w:hAnsi="Liberation Serif" w:cs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6.4. Направление </w:t>
      </w:r>
      <w:r>
        <w:rPr>
          <w:rFonts w:ascii="Liberation Serif" w:hAnsi="Liberation Serif" w:cs="Liberation Serif"/>
        </w:rPr>
        <w:t xml:space="preserve">З</w:t>
      </w:r>
      <w:r>
        <w:rPr>
          <w:rFonts w:ascii="Liberation Serif" w:hAnsi="Liberation Serif" w:cs="Liberation Serif"/>
        </w:rPr>
        <w:t xml:space="preserve">аявки</w:t>
      </w:r>
      <w:r>
        <w:rPr>
          <w:rFonts w:ascii="Liberation Serif" w:hAnsi="Liberation Serif" w:cs="Liberation Serif"/>
        </w:rPr>
        <w:t xml:space="preserve"> на Конкурс производится в электронном виде на адрес электронной почты: </w:t>
      </w:r>
      <w:r>
        <w:rPr>
          <w:rFonts w:ascii="Liberation Serif" w:hAnsi="Liberation Serif" w:cs="Liberation Serif"/>
          <w:lang w:val="en-US"/>
        </w:rPr>
        <w:t xml:space="preserve">me</w:t>
      </w:r>
      <w:r>
        <w:rPr>
          <w:rFonts w:ascii="Liberation Serif" w:hAnsi="Liberation Serif" w:cs="Liberation Serif"/>
        </w:rPr>
        <w:t xml:space="preserve">-</w:t>
      </w:r>
      <w:r>
        <w:rPr>
          <w:rFonts w:ascii="Liberation Serif" w:hAnsi="Liberation Serif" w:cs="Liberation Serif"/>
          <w:lang w:val="en-US"/>
        </w:rPr>
        <w:t xml:space="preserve">konkurs</w:t>
      </w:r>
      <w:r>
        <w:rPr>
          <w:rFonts w:ascii="Liberation Serif" w:hAnsi="Liberation Serif" w:cs="Liberation Serif"/>
        </w:rPr>
        <w:t xml:space="preserve">2019@</w:t>
      </w:r>
      <w:r>
        <w:rPr>
          <w:rFonts w:ascii="Liberation Serif" w:hAnsi="Liberation Serif" w:cs="Liberation Serif"/>
          <w:lang w:val="en-US"/>
        </w:rPr>
        <w:t xml:space="preserve">egov</w:t>
      </w:r>
      <w:r>
        <w:rPr>
          <w:rFonts w:ascii="Liberation Serif" w:hAnsi="Liberation Serif" w:cs="Liberation Serif"/>
        </w:rPr>
        <w:t xml:space="preserve">66.</w:t>
      </w:r>
      <w:r>
        <w:rPr>
          <w:rFonts w:ascii="Liberation Serif" w:hAnsi="Liberation Serif" w:cs="Liberation Serif"/>
          <w:lang w:val="en-US"/>
        </w:rPr>
        <w:t xml:space="preserve">ru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и в печатном виде по адресу: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620031, </w:t>
      </w:r>
      <w:r>
        <w:rPr>
          <w:rFonts w:ascii="Liberation Serif" w:hAnsi="Liberation Serif" w:cs="Liberation Serif"/>
        </w:rPr>
        <w:t xml:space="preserve">г. Екатеринбург, пл. Октябрьская, д.1, к. 2017</w:t>
      </w:r>
      <w:r>
        <w:rPr>
          <w:rFonts w:ascii="Liberation Serif" w:hAnsi="Liberation Serif" w:cs="Liberation Serif"/>
        </w:rPr>
        <w:t xml:space="preserve">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6.5. </w:t>
      </w:r>
      <w:r>
        <w:rPr>
          <w:rFonts w:ascii="Liberation Serif" w:hAnsi="Liberation Serif" w:cs="Liberation Serif"/>
        </w:rPr>
        <w:t xml:space="preserve">Заявка</w:t>
      </w:r>
      <w:r>
        <w:rPr>
          <w:rFonts w:ascii="Liberation Serif" w:hAnsi="Liberation Serif" w:cs="Liberation Serif"/>
        </w:rPr>
        <w:t xml:space="preserve"> должн</w:t>
      </w:r>
      <w:r>
        <w:rPr>
          <w:rFonts w:ascii="Liberation Serif" w:hAnsi="Liberation Serif" w:cs="Liberation Serif"/>
        </w:rPr>
        <w:t xml:space="preserve">а</w:t>
      </w:r>
      <w:r>
        <w:rPr>
          <w:rFonts w:ascii="Liberation Serif" w:hAnsi="Liberation Serif" w:cs="Liberation Serif"/>
        </w:rPr>
        <w:t xml:space="preserve"> быть представлен</w:t>
      </w:r>
      <w:r>
        <w:rPr>
          <w:rFonts w:ascii="Liberation Serif" w:hAnsi="Liberation Serif" w:cs="Liberation Serif"/>
        </w:rPr>
        <w:t xml:space="preserve">а</w:t>
      </w:r>
      <w:r>
        <w:rPr>
          <w:rFonts w:ascii="Liberation Serif" w:hAnsi="Liberation Serif" w:cs="Liberation Serif"/>
        </w:rPr>
        <w:t xml:space="preserve"> Организатору в период с </w:t>
      </w:r>
      <w:r>
        <w:rPr>
          <w:rFonts w:ascii="Liberation Serif" w:hAnsi="Liberation Serif" w:cs="Liberation Serif"/>
        </w:rPr>
        <w:t xml:space="preserve">10 декабря</w:t>
      </w:r>
      <w:r>
        <w:rPr>
          <w:rFonts w:ascii="Liberation Serif" w:hAnsi="Liberation Serif" w:cs="Liberation Serif"/>
        </w:rPr>
        <w:t xml:space="preserve"> по </w:t>
      </w:r>
      <w:r>
        <w:rPr>
          <w:rFonts w:ascii="Liberation Serif" w:hAnsi="Liberation Serif" w:cs="Liberation Serif"/>
        </w:rPr>
        <w:t xml:space="preserve">2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 декабря 2019 года</w:t>
      </w:r>
      <w:r>
        <w:rPr>
          <w:rFonts w:ascii="Liberation Serif" w:hAnsi="Liberation Serif" w:cs="Liberation Serif"/>
        </w:rPr>
        <w:t xml:space="preserve"> включительно.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6.6. Присланные на Конкурс </w:t>
      </w:r>
      <w:r>
        <w:rPr>
          <w:rFonts w:ascii="Liberation Serif" w:hAnsi="Liberation Serif" w:cs="Liberation Serif"/>
        </w:rPr>
        <w:t xml:space="preserve">Заявки</w:t>
      </w:r>
      <w:r>
        <w:rPr>
          <w:rFonts w:ascii="Liberation Serif" w:hAnsi="Liberation Serif" w:cs="Liberation Serif"/>
        </w:rPr>
        <w:t xml:space="preserve"> возврату не подлежат.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6.7. Оценка </w:t>
      </w:r>
      <w:r>
        <w:rPr>
          <w:rFonts w:ascii="Liberation Serif" w:hAnsi="Liberation Serif" w:cs="Liberation Serif"/>
        </w:rPr>
        <w:t xml:space="preserve">заявок</w:t>
      </w:r>
      <w:r>
        <w:rPr>
          <w:rFonts w:ascii="Liberation Serif" w:hAnsi="Liberation Serif" w:cs="Liberation Serif"/>
        </w:rPr>
        <w:t xml:space="preserve">, поступивших на Конкурс, и определение победителей и финалистов Конкурса осуществляется в следующие сроки: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6.8. В течение 5 (пяти) рабочих дней после окончания срока, указанного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пункте 6.1.1. настоящего Положения, рассмотрение </w:t>
      </w:r>
      <w:r>
        <w:rPr>
          <w:rFonts w:ascii="Liberation Serif" w:hAnsi="Liberation Serif" w:cs="Liberation Serif"/>
        </w:rPr>
        <w:t xml:space="preserve">З</w:t>
      </w:r>
      <w:r>
        <w:rPr>
          <w:rFonts w:ascii="Liberation Serif" w:hAnsi="Liberation Serif" w:cs="Liberation Serif"/>
        </w:rPr>
        <w:t xml:space="preserve">аявок экспертными группами по номинациям, формирование рейтинга (по сумме баллов) практик-номинантов Конкурса в каждой номинации и передача членам Экспертного совета для отбора победителей и финалистов Конкурса.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6.9. В течение 5 (пяти) рабочих дней после окончания срока, указанного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пункте 6.1.2. настоящего Положения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определение Экспертным советом </w:t>
      </w:r>
      <w:r>
        <w:rPr>
          <w:rFonts w:ascii="Liberation Serif" w:hAnsi="Liberation Serif" w:cs="Liberation Serif"/>
        </w:rPr>
        <w:t xml:space="preserve">победителей и финалистов Конкурса в каждой номинации Конкурса. 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6.10. </w:t>
      </w:r>
      <w:r>
        <w:rPr>
          <w:rFonts w:ascii="Liberation Serif" w:hAnsi="Liberation Serif" w:cs="Liberation Serif"/>
        </w:rPr>
        <w:t xml:space="preserve">Губернатор Свердловской области</w:t>
      </w:r>
      <w:r>
        <w:rPr>
          <w:rFonts w:ascii="Liberation Serif" w:hAnsi="Liberation Serif" w:cs="Liberation Serif"/>
        </w:rPr>
        <w:t xml:space="preserve"> вручает награды победителям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 финалистам Конкурса в каждой номинации на торжественной церемонии награждения (событие может быть приурочено к проведению публичного мероприятия </w:t>
      </w:r>
      <w:r>
        <w:rPr>
          <w:rFonts w:ascii="Liberation Serif" w:hAnsi="Liberation Serif" w:cs="Liberation Serif"/>
        </w:rPr>
        <w:t xml:space="preserve">Свердловской области </w:t>
      </w:r>
      <w:r>
        <w:rPr>
          <w:rFonts w:ascii="Liberation Serif" w:hAnsi="Liberation Serif" w:cs="Liberation Serif"/>
        </w:rPr>
        <w:t xml:space="preserve">или к празднованию знаменательной даты). </w:t>
      </w:r>
      <w:r/>
    </w:p>
    <w:p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7. Требования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Заявка участника представляется по форме согласно Приложению № 1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к настоящему Положению по каждой из номинаций</w:t>
      </w:r>
      <w:r>
        <w:rPr>
          <w:rFonts w:ascii="Liberation Serif" w:hAnsi="Liberation Serif" w:cs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</w:rPr>
        <w:outlineLvl w:val="0"/>
      </w:pPr>
      <w:r>
        <w:rPr>
          <w:rFonts w:ascii="Liberation Serif" w:hAnsi="Liberation Serif" w:cs="Liberation Serif"/>
          <w:b/>
          <w:bCs/>
        </w:rPr>
        <w:t xml:space="preserve">8. Экспертный совет и порядок определения победителей и финалистов Конкурса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8.1. Экспертный совет формируется из авторитетных экспертов в области управленческих и HR технологий.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2</w:t>
      </w:r>
      <w:r>
        <w:rPr>
          <w:rFonts w:ascii="Liberation Serif" w:hAnsi="Liberation Serif" w:cs="Liberation Serif"/>
        </w:rPr>
        <w:t xml:space="preserve">. В компетенцию Экспертного совета входит определение победителей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 финалистов Конкурса.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3</w:t>
      </w:r>
      <w:r>
        <w:rPr>
          <w:rFonts w:ascii="Liberation Serif" w:hAnsi="Liberation Serif" w:cs="Liberation Serif"/>
        </w:rPr>
        <w:t xml:space="preserve">. Заседание Экспертного совета правомочно, если в нем участвует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не менее половины членов Экспертного совета.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4</w:t>
      </w:r>
      <w:r>
        <w:rPr>
          <w:rFonts w:ascii="Liberation Serif" w:hAnsi="Liberation Serif" w:cs="Liberation Serif"/>
        </w:rPr>
        <w:t xml:space="preserve">. Права и обязанности членов Экспертного совета: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.1. Предварительная экспертиза </w:t>
      </w:r>
      <w:r>
        <w:rPr>
          <w:rFonts w:ascii="Liberation Serif" w:hAnsi="Liberation Serif" w:cs="Liberation Serif"/>
        </w:rPr>
        <w:t xml:space="preserve">З</w:t>
      </w:r>
      <w:r>
        <w:rPr>
          <w:rFonts w:ascii="Liberation Serif" w:hAnsi="Liberation Serif" w:cs="Liberation Serif"/>
        </w:rPr>
        <w:t xml:space="preserve">аявок осуществляется каждым членом экспертной группы индивидуально.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.2. Экспертные группы рассматривают предварительные оценки Заявок экспертов по своей номинации</w:t>
      </w:r>
      <w:r>
        <w:rPr>
          <w:rFonts w:ascii="Liberation Serif" w:hAnsi="Liberation Serif" w:cs="Liberation Serif"/>
        </w:rPr>
        <w:t xml:space="preserve">, заносят данные в б</w:t>
      </w:r>
      <w:r>
        <w:rPr>
          <w:rFonts w:ascii="Liberation Serif" w:hAnsi="Liberation Serif" w:cs="Liberation Serif"/>
        </w:rPr>
        <w:t xml:space="preserve">ланк оценки </w:t>
      </w:r>
      <w:r>
        <w:rPr>
          <w:rFonts w:ascii="Liberation Serif" w:hAnsi="Liberation Serif" w:cs="Liberation Serif"/>
        </w:rPr>
        <w:t xml:space="preserve">заявок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конкурса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(</w:t>
      </w:r>
      <w:r>
        <w:rPr>
          <w:rFonts w:ascii="Liberation Serif" w:hAnsi="Liberation Serif" w:cs="Liberation Serif"/>
        </w:rPr>
        <w:t xml:space="preserve">Приложени</w:t>
      </w:r>
      <w:r>
        <w:rPr>
          <w:rFonts w:ascii="Liberation Serif" w:hAnsi="Liberation Serif" w:cs="Liberation Serif"/>
        </w:rPr>
        <w:t xml:space="preserve">е № </w:t>
      </w:r>
      <w:r>
        <w:rPr>
          <w:rFonts w:ascii="Liberation Serif" w:hAnsi="Liberation Serif" w:cs="Liberation Serif"/>
        </w:rPr>
        <w:t xml:space="preserve">2</w:t>
      </w:r>
      <w:r>
        <w:rPr>
          <w:rFonts w:ascii="Liberation Serif" w:hAnsi="Liberation Serif" w:cs="Liberation Serif"/>
        </w:rPr>
        <w:t xml:space="preserve"> к положению) </w:t>
      </w:r>
      <w:r>
        <w:rPr>
          <w:rFonts w:ascii="Liberation Serif" w:hAnsi="Liberation Serif" w:cs="Liberation Serif"/>
        </w:rPr>
        <w:t xml:space="preserve">и формируют рейтинг по сумме баллов.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.3. Каждая заявка рассматривается не менее чем двумя членами экспертной группы.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.4. Каждый эксперт имеет один голос.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.5. Оценка практики представляет собой среднее арифметическое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из оценок экспертов по Заявке (по шкале от 0 до 10 баллов) по перечисленным ниже критериям: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.5.1. результативность практики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наличие критериев эффективности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 результатов измерения эффективности;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.5.2. уникальность практики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наличие уникальных элементов, которые выделяют практику среди других практик в данной номинации.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.5.3. возможность тиражирования практики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практика носит универсальный характер и может быть применена на других территориях,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организациях, командах;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.5.4. возможность масштабирования практики </w:t>
      </w:r>
      <w:r>
        <w:rPr>
          <w:rFonts w:ascii="Liberation Serif" w:hAnsi="Liberation Serif" w:cs="Liberation Serif"/>
        </w:rPr>
        <w:t xml:space="preserve">−</w:t>
      </w:r>
      <w:r>
        <w:rPr>
          <w:rFonts w:ascii="Liberation Serif" w:hAnsi="Liberation Serif" w:cs="Liberation Serif"/>
        </w:rPr>
        <w:t xml:space="preserve"> в практике может быть увеличено количество участников без ухудшения</w:t>
      </w:r>
      <w:r>
        <w:rPr>
          <w:rFonts w:ascii="Liberation Serif" w:hAnsi="Liberation Serif" w:cs="Liberation Serif"/>
        </w:rPr>
        <w:t xml:space="preserve"> качества конечного результата;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6</w:t>
      </w:r>
      <w:r>
        <w:rPr>
          <w:rFonts w:ascii="Liberation Serif" w:hAnsi="Liberation Serif" w:cs="Liberation Serif"/>
        </w:rPr>
        <w:t xml:space="preserve">. Решение Экспертного совета по победителям (1 место) и финалистам Конкурса (2 и 3 места) в каждой номинации формируется исходя из общего количества набранных баллов (с учетом письменных комментариев экспертов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к оценкам) по итогам голосования членов Экспертного совета.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7</w:t>
      </w:r>
      <w:r>
        <w:rPr>
          <w:rFonts w:ascii="Liberation Serif" w:hAnsi="Liberation Serif" w:cs="Liberation Serif"/>
        </w:rPr>
        <w:t xml:space="preserve">. Решение Экспертного совета принимается простым большинством голосов присутствующих на заседании (принявших участие в голосовании) членов Экспертного совета. </w:t>
      </w:r>
      <w:r>
        <w:rPr>
          <w:rFonts w:ascii="Liberation Serif" w:hAnsi="Liberation Serif" w:cs="Liberation Serif"/>
        </w:rPr>
        <w:t xml:space="preserve">В случае равенства голосов, решение принимает председатель Экспертного совета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8</w:t>
      </w:r>
      <w:r>
        <w:rPr>
          <w:rFonts w:ascii="Liberation Serif" w:hAnsi="Liberation Serif" w:cs="Liberation Serif"/>
        </w:rPr>
        <w:t xml:space="preserve">. Оценка Заявки сопровождается пи</w:t>
      </w:r>
      <w:r>
        <w:rPr>
          <w:rFonts w:ascii="Liberation Serif" w:hAnsi="Liberation Serif" w:cs="Liberation Serif"/>
        </w:rPr>
        <w:t xml:space="preserve">сьменным комментарием эксперта;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</w:t>
      </w:r>
      <w:r>
        <w:rPr>
          <w:rFonts w:ascii="Liberation Serif" w:hAnsi="Liberation Serif" w:cs="Liberation Serif"/>
        </w:rPr>
        <w:t xml:space="preserve">9</w:t>
      </w:r>
      <w:r>
        <w:rPr>
          <w:rFonts w:ascii="Liberation Serif" w:hAnsi="Liberation Serif" w:cs="Liberation Serif"/>
        </w:rPr>
        <w:t xml:space="preserve">. Член экспертной группы не вправе рассматривать Заявку от организации-участника, владельцем которой он является</w:t>
      </w:r>
      <w:r>
        <w:rPr>
          <w:rFonts w:ascii="Liberation Serif" w:hAnsi="Liberation Serif" w:cs="Liberation Serif"/>
        </w:rPr>
        <w:t xml:space="preserve"> и / или в которой он работает.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8.1</w:t>
      </w:r>
      <w:r>
        <w:rPr>
          <w:rFonts w:ascii="Liberation Serif" w:hAnsi="Liberation Serif" w:cs="Liberation Serif"/>
        </w:rPr>
        <w:t xml:space="preserve">0</w:t>
      </w:r>
      <w:r>
        <w:rPr>
          <w:rFonts w:ascii="Liberation Serif" w:hAnsi="Liberation Serif" w:cs="Liberation Serif"/>
        </w:rPr>
        <w:t xml:space="preserve">. Члены Экспертного совета не должны оказывать давление на мнение других членов экспертного совета. </w:t>
      </w:r>
      <w:r/>
    </w:p>
    <w:p>
      <w:pPr>
        <w:jc w:val="center"/>
        <w:rPr>
          <w:rFonts w:ascii="Liberation Serif" w:hAnsi="Liberation Serif" w:cs="Liberation Serif"/>
          <w:b/>
          <w:bCs/>
        </w:rPr>
        <w:outlineLvl w:val="0"/>
      </w:pPr>
      <w:r>
        <w:rPr>
          <w:rFonts w:ascii="Liberation Serif" w:hAnsi="Liberation Serif" w:cs="Liberation Serif"/>
          <w:b/>
          <w:bCs/>
        </w:rPr>
        <w:t xml:space="preserve">9. Награды победителям и призерам Конкурса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9.1. По результатам проведения Конкурса принимается решение о вручении дипломов по номинациям: победителям (за 1 место) и призерам Конкурса (за 2 и 3 место).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9.2. Дипломы победителям и призерам Конкурса вручает </w:t>
      </w:r>
      <w:r>
        <w:rPr>
          <w:rFonts w:ascii="Liberation Serif" w:hAnsi="Liberation Serif" w:cs="Liberation Serif"/>
        </w:rPr>
        <w:t xml:space="preserve">Губернатор Свердловской области</w:t>
      </w:r>
      <w:r>
        <w:rPr>
          <w:rFonts w:ascii="Liberation Serif" w:hAnsi="Liberation Serif" w:cs="Liberation Serif"/>
        </w:rPr>
        <w:t xml:space="preserve"> на торжественной церемонии награждения (событие может быть приурочено к проведению публичного мероприятия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 или к празднованию знаменательной даты).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9.</w:t>
      </w:r>
      <w:r>
        <w:rPr>
          <w:rFonts w:ascii="Liberation Serif" w:hAnsi="Liberation Serif" w:cs="Liberation Serif"/>
        </w:rPr>
        <w:t xml:space="preserve">3</w:t>
      </w:r>
      <w:r>
        <w:rPr>
          <w:rFonts w:ascii="Liberation Serif" w:hAnsi="Liberation Serif" w:cs="Liberation Serif"/>
        </w:rPr>
        <w:t xml:space="preserve">. Участники, не признанные победителями и призерами Конкурса, могут поощряться Благодарственными письмами или Сертификатами участника Конкурса, выдаваемыми Организатором Конкурса.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9.</w:t>
      </w:r>
      <w:r>
        <w:rPr>
          <w:rFonts w:ascii="Liberation Serif" w:hAnsi="Liberation Serif" w:cs="Liberation Serif"/>
        </w:rPr>
        <w:t xml:space="preserve">4</w:t>
      </w:r>
      <w:r>
        <w:rPr>
          <w:rFonts w:ascii="Liberation Serif" w:hAnsi="Liberation Serif" w:cs="Liberation Serif"/>
        </w:rPr>
        <w:t xml:space="preserve">. Информация об итогах, победителях и</w:t>
      </w:r>
      <w:r>
        <w:rPr>
          <w:rFonts w:ascii="Liberation Serif" w:hAnsi="Liberation Serif" w:cs="Liberation Serif"/>
        </w:rPr>
        <w:t xml:space="preserve"> призерах Конкурса размещается на информационном ресурсе Конкурса, в информационно-телекоммуникационной сети «Интернет», и может размещаться на официальных сайтах компаний, образовательных организаций, партнеров конкурса и в средствах массовой информации.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9.</w:t>
      </w:r>
      <w:r>
        <w:rPr>
          <w:rFonts w:ascii="Liberation Serif" w:hAnsi="Liberation Serif" w:cs="Liberation Serif"/>
        </w:rPr>
        <w:t xml:space="preserve">5</w:t>
      </w:r>
      <w:r>
        <w:rPr>
          <w:rFonts w:ascii="Liberation Serif" w:hAnsi="Liberation Serif" w:cs="Liberation Serif"/>
        </w:rPr>
        <w:t xml:space="preserve">. Победители (1 место) и финалисты (2 и 3 место) Конкурсов лучших практик наставничества </w:t>
      </w:r>
      <w:r>
        <w:rPr>
          <w:rFonts w:ascii="Liberation Serif" w:hAnsi="Liberation Serif" w:cs="Liberation Serif"/>
        </w:rPr>
        <w:t xml:space="preserve">Свердловской области</w:t>
      </w:r>
      <w:r>
        <w:rPr>
          <w:rFonts w:ascii="Liberation Serif" w:hAnsi="Liberation Serif" w:cs="Liberation Serif"/>
        </w:rPr>
        <w:t xml:space="preserve"> приглашаются для участия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во всероссийском Конкурсе лучших практик наставничества. </w:t>
      </w:r>
      <w:r/>
    </w:p>
    <w:p>
      <w:pPr>
        <w:jc w:val="center"/>
        <w:rPr>
          <w:rFonts w:ascii="Liberation Serif" w:hAnsi="Liberation Serif" w:cs="Liberation Serif"/>
          <w:b/>
          <w:bCs/>
        </w:rPr>
        <w:outlineLvl w:val="0"/>
      </w:pPr>
      <w:r>
        <w:rPr>
          <w:rFonts w:ascii="Liberation Serif" w:hAnsi="Liberation Serif" w:cs="Liberation Serif"/>
          <w:b/>
          <w:bCs/>
        </w:rPr>
        <w:t xml:space="preserve">10. Распространение и тиражирование передового опыта наставничества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10.1. Распространение и тиражирование передового опыта наставничества осуществляется посредством представления содержания передовой практики заинтересованному сообществу (с целью его последующего воспроизведения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новых условиях).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10.2. Механизмы распространения передового опыта: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10.2.1. Описание передового опыта в виде документов (определяющих содержание и порядок действий, направленных на решение конкретной задачи)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с последующим их размещением в тематических базах данных, публикацией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</w:t>
      </w:r>
      <w:r>
        <w:rPr>
          <w:rFonts w:ascii="Liberation Serif" w:hAnsi="Liberation Serif" w:cs="Liberation Serif"/>
        </w:rPr>
        <w:t xml:space="preserve">средствах массовой информации</w:t>
      </w:r>
      <w:r>
        <w:rPr>
          <w:rFonts w:ascii="Liberation Serif" w:hAnsi="Liberation Serif" w:cs="Liberation Serif"/>
        </w:rPr>
        <w:t xml:space="preserve">, в сети Интернет, в информационных</w:t>
      </w:r>
      <w:r>
        <w:rPr>
          <w:rFonts w:ascii="Liberation Serif" w:hAnsi="Liberation Serif" w:cs="Liberation Serif"/>
        </w:rPr>
        <w:t xml:space="preserve"> и учебных изданиях, на сайтах профессиональных сообществ, на сайте национального проекта «Производительность труда и поддержка занятости» (производительность.рф), представление в виде публичных докладов, выступлений на конференциях и других мероприятиях;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10.2.2. Визуальное представление образцов деятельности (показ практических действий и демонстрация решений) в виде вебинаров, видеокурсов, практических мероприятий, семинаров, мастер-классов, презентаций, и др</w:t>
      </w:r>
      <w:r>
        <w:rPr>
          <w:rFonts w:ascii="Liberation Serif" w:hAnsi="Liberation Serif" w:cs="Liberation Serif"/>
        </w:rPr>
        <w:t xml:space="preserve">угое</w:t>
      </w:r>
      <w:r>
        <w:rPr>
          <w:rFonts w:ascii="Liberation Serif" w:hAnsi="Liberation Serif" w:cs="Liberation Serif"/>
        </w:rPr>
        <w:t xml:space="preserve">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10.2.3. Диалоговое взаимодействие между авторами / носителями </w:t>
      </w:r>
      <w:r>
        <w:rPr>
          <w:rFonts w:ascii="Liberation Serif" w:hAnsi="Liberation Serif" w:cs="Liberation Serif"/>
        </w:rPr>
        <w:t xml:space="preserve">эффективных практик наставничества и специалистами, с обязательной обратной связью (направленное на передачу ценностей, формирование новых знаний, способствующих совершенствованию практики посредством смещения акцентов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с отработанных способов действий на процессы изменения ситуации, модификации практики, адаптации ее к новым условиям) посредством стажировочных площадок, творческих мастерских, школ-лабораторий. </w:t>
      </w:r>
      <w:r/>
    </w:p>
    <w:p>
      <w:pPr>
        <w:ind w:firstLine="709"/>
        <w:jc w:val="both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/>
        </w:rPr>
        <w:t xml:space="preserve">10.3. Члены Экспертного совета отбирают и рекомендуют не менее 3 (трех)</w:t>
      </w:r>
      <w:r>
        <w:rPr>
          <w:rFonts w:ascii="Liberation Serif" w:hAnsi="Liberation Serif" w:cs="Liberation Serif"/>
        </w:rPr>
        <w:t xml:space="preserve">, при наличии,</w:t>
      </w:r>
      <w:r>
        <w:rPr>
          <w:rFonts w:ascii="Liberation Serif" w:hAnsi="Liberation Serif" w:cs="Liberation Serif"/>
        </w:rPr>
        <w:t xml:space="preserve"> эффективных практик наставничества (в каждой из номинаций Конкурса) для их дальнейшего документирования, популяризации и тиражирования посредством механизмов, указанных в п.10.2, для повышения производительности труда. </w:t>
      </w:r>
      <w:r/>
    </w:p>
    <w:p>
      <w:pPr>
        <w:ind w:firstLine="709"/>
        <w:jc w:val="both"/>
        <w:rPr>
          <w:rFonts w:ascii="Liberation Serif" w:hAnsi="Liberation Serif" w:cs="Liberation Serif" w:eastAsia="Calibri"/>
        </w:rPr>
        <w:outlineLvl w:val="0"/>
      </w:pPr>
      <w:r>
        <w:rPr>
          <w:rFonts w:ascii="Liberation Serif" w:hAnsi="Liberation Serif" w:cs="Liberation Serif"/>
        </w:rPr>
        <w:t xml:space="preserve">10.4. Юридические лица и наставники (победители и призеры Конкурса, авторы и носители эффективных практик наставничества) обязуются способствовать обобщению и распространению передового опыта наставничества, посредством механизмов, указанных в п.10.2.</w:t>
      </w:r>
      <w:r/>
    </w:p>
    <w:p>
      <w:pPr>
        <w:ind w:left="5245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 w:eastAsia="Calibri"/>
        </w:rPr>
        <w:br w:type="page"/>
      </w:r>
      <w:r>
        <w:rPr>
          <w:rFonts w:ascii="Liberation Serif" w:hAnsi="Liberation Serif" w:cs="Liberation Serif"/>
          <w:bCs/>
        </w:rPr>
        <w:t xml:space="preserve">Приложение</w:t>
      </w:r>
      <w:r>
        <w:rPr>
          <w:rFonts w:ascii="Liberation Serif" w:hAnsi="Liberation Serif" w:cs="Liberation Serif"/>
          <w:bCs/>
        </w:rPr>
        <w:t xml:space="preserve"> № 2 </w:t>
      </w:r>
      <w:r>
        <w:rPr>
          <w:rFonts w:ascii="Liberation Serif" w:hAnsi="Liberation Serif" w:cs="Liberation Serif"/>
          <w:bCs/>
        </w:rPr>
        <w:br/>
      </w:r>
      <w:r>
        <w:rPr>
          <w:rFonts w:ascii="Liberation Serif" w:hAnsi="Liberation Serif" w:cs="Liberation Serif"/>
          <w:bCs/>
        </w:rPr>
        <w:t xml:space="preserve">к</w:t>
      </w:r>
      <w:r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 xml:space="preserve">Распоряжению</w:t>
      </w:r>
      <w:r>
        <w:rPr>
          <w:rFonts w:ascii="Liberation Serif" w:hAnsi="Liberation Serif" w:cs="Liberation Serif"/>
          <w:bCs/>
        </w:rPr>
        <w:t xml:space="preserve"> Губернатора Свердловской области </w:t>
      </w:r>
      <w:r/>
    </w:p>
    <w:p>
      <w:pPr>
        <w:ind w:left="5245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</w:t>
      </w:r>
      <w:r>
        <w:rPr>
          <w:rFonts w:ascii="Liberation Serif" w:hAnsi="Liberation Serif" w:cs="Liberation Serif"/>
          <w:bCs/>
        </w:rPr>
        <w:t xml:space="preserve">т ___________№____________</w:t>
      </w:r>
      <w:r/>
    </w:p>
    <w:p>
      <w:pPr>
        <w:ind w:left="5245"/>
        <w:jc w:val="both"/>
        <w:spacing w:lineRule="auto" w:line="2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утверждении Положения </w:t>
      </w:r>
      <w:r>
        <w:rPr>
          <w:rFonts w:ascii="Liberation Serif" w:hAnsi="Liberation Serif" w:cs="Liberation Serif"/>
        </w:rPr>
        <w:br/>
        <w:t xml:space="preserve">о проведении </w:t>
      </w:r>
      <w:r>
        <w:rPr>
          <w:rFonts w:ascii="Liberation Serif" w:hAnsi="Liberation Serif" w:cs="Liberation Serif"/>
        </w:rPr>
        <w:t xml:space="preserve">пилотного </w:t>
      </w:r>
      <w:r>
        <w:rPr>
          <w:rFonts w:ascii="Liberation Serif" w:hAnsi="Liberation Serif" w:cs="Liberation Serif"/>
        </w:rPr>
        <w:t xml:space="preserve">конкурса «Лучшие практики наставничества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– 2019»</w:t>
      </w:r>
      <w:r>
        <w:rPr>
          <w:rFonts w:ascii="Liberation Serif" w:hAnsi="Liberation Serif" w:cs="Liberation Serif"/>
        </w:rPr>
        <w:t xml:space="preserve"> в Свердловской области</w:t>
      </w:r>
      <w:r/>
    </w:p>
    <w:p>
      <w:pPr>
        <w:ind w:left="5387"/>
        <w:jc w:val="both"/>
        <w:spacing w:lineRule="auto" w:line="2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left="5387"/>
        <w:jc w:val="both"/>
        <w:spacing w:lineRule="auto" w:line="2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left="5387"/>
        <w:jc w:val="both"/>
        <w:spacing w:lineRule="auto" w:line="23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jc w:val="center"/>
        <w:spacing w:lineRule="auto" w:line="23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СОСТАВ</w:t>
      </w:r>
      <w:r/>
    </w:p>
    <w:p>
      <w:pPr>
        <w:jc w:val="center"/>
        <w:spacing w:lineRule="auto" w:line="23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Экспертного совета</w:t>
      </w:r>
      <w:r/>
    </w:p>
    <w:p>
      <w:pPr>
        <w:jc w:val="center"/>
        <w:rPr>
          <w:rFonts w:ascii="Liberation Serif" w:hAnsi="Liberation Serif" w:cs="Liberation Serif"/>
          <w:color w:val="111111"/>
          <w:sz w:val="27"/>
          <w:szCs w:val="27"/>
        </w:rPr>
        <w:outlineLvl w:val="2"/>
      </w:pPr>
      <w:r>
        <w:rPr>
          <w:rFonts w:ascii="Liberation Serif" w:hAnsi="Liberation Serif" w:cs="Liberation Serif"/>
          <w:color w:val="111111"/>
          <w:sz w:val="27"/>
          <w:szCs w:val="27"/>
        </w:rPr>
      </w:r>
      <w:r/>
    </w:p>
    <w:tbl>
      <w:tblPr>
        <w:tblW w:w="9937" w:type="dxa"/>
        <w:tblInd w:w="108" w:type="dxa"/>
        <w:tblLook w:val="04A0" w:firstRow="1" w:lastRow="0" w:firstColumn="1" w:lastColumn="0" w:noHBand="0" w:noVBand="1"/>
      </w:tblPr>
      <w:tblGrid>
        <w:gridCol w:w="566"/>
        <w:gridCol w:w="3012"/>
        <w:gridCol w:w="356"/>
        <w:gridCol w:w="6003"/>
      </w:tblGrid>
      <w:tr>
        <w:trPr>
          <w:trHeight w:val="717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Чемезов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Олег Леонидович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Заместитель Губернатора Свердловской области</w:t>
            </w:r>
            <w:r>
              <w:rPr>
                <w:rFonts w:ascii="Liberation Serif" w:hAnsi="Liberation Serif" w:cs="Liberation Serif"/>
                <w:color w:val="000000"/>
              </w:rPr>
              <w:t xml:space="preserve">, председатель </w:t>
            </w:r>
            <w:r>
              <w:rPr>
                <w:rFonts w:ascii="Liberation Serif" w:hAnsi="Liberation Serif" w:cs="Liberation Serif"/>
                <w:color w:val="000000"/>
              </w:rPr>
              <w:t xml:space="preserve">Э</w:t>
            </w:r>
            <w:r>
              <w:rPr>
                <w:rFonts w:ascii="Liberation Serif" w:hAnsi="Liberation Serif" w:cs="Liberation Serif"/>
                <w:color w:val="000000"/>
              </w:rPr>
              <w:t xml:space="preserve">кспертного совета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Корюков 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  <w:r>
              <w:rPr>
                <w:rFonts w:ascii="Liberation Serif" w:hAnsi="Liberation Serif" w:cs="Liberation Serif"/>
                <w:color w:val="000000"/>
              </w:rPr>
              <w:t xml:space="preserve">Андрей Александрович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trike/>
                <w:color w:val="000000"/>
              </w:rPr>
            </w:pPr>
            <w:r>
              <w:rPr>
                <w:rFonts w:ascii="Liberation Serif" w:hAnsi="Liberation Serif" w:cs="Liberation Serif"/>
                <w:strike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Calibri"/>
                <w:strike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Заместитель Министра экономики и территориального развития Свердловской области, заместитель председателя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Э</w:t>
            </w:r>
            <w:r>
              <w:rPr>
                <w:rFonts w:ascii="Liberation Serif" w:hAnsi="Liberation Serif" w:cs="Liberation Serif"/>
                <w:color w:val="000000"/>
              </w:rPr>
              <w:t xml:space="preserve">кспертного</w:t>
            </w:r>
            <w:r>
              <w:rPr>
                <w:rFonts w:ascii="Liberation Serif" w:hAnsi="Liberation Serif" w:cs="Liberation Serif"/>
                <w:color w:val="000000"/>
              </w:rPr>
              <w:t xml:space="preserve"> совета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3.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Маточкин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Роман Валентинович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strike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Главный специалист отдела мониторинга 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  <w:r>
              <w:rPr>
                <w:rFonts w:ascii="Liberation Serif" w:hAnsi="Liberation Serif" w:cs="Liberation Serif"/>
                <w:color w:val="000000"/>
              </w:rPr>
              <w:t xml:space="preserve">и контроля реализации документов стратегического планирования Свердловской области Министерства экономики 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  <w:r>
              <w:rPr>
                <w:rFonts w:ascii="Liberation Serif" w:hAnsi="Liberation Serif" w:cs="Liberation Serif"/>
                <w:color w:val="000000"/>
              </w:rPr>
              <w:t xml:space="preserve">и территориального развития Свердловской области</w:t>
            </w:r>
            <w:r>
              <w:rPr>
                <w:rFonts w:ascii="Liberation Serif" w:hAnsi="Liberation Serif" w:cs="Liberation Serif"/>
                <w:color w:val="000000"/>
              </w:rPr>
              <w:t xml:space="preserve">, секретарь Э</w:t>
            </w:r>
            <w:r>
              <w:rPr>
                <w:rFonts w:ascii="Liberation Serif" w:hAnsi="Liberation Serif" w:cs="Liberation Serif"/>
                <w:color w:val="000000"/>
              </w:rPr>
              <w:t xml:space="preserve">кспертного совета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gridSpan w:val="3"/>
            <w:shd w:val="clear" w:color="auto" w:fill="auto"/>
            <w:tcW w:w="937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Члены экспертного совета: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4.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Бордюгова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Наталия Александровна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Заместитель Директора Департамента по труду и занятости населения Свердловской области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5</w:t>
            </w:r>
            <w:r>
              <w:rPr>
                <w:rFonts w:ascii="Liberation Serif" w:hAnsi="Liberation Serif" w:cs="Liberation Serif"/>
                <w:color w:val="000000"/>
              </w:rPr>
              <w:t xml:space="preserve">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Брусянин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Дмитрий Алексеевич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Заместитель Министра транспорта и дорожного хозяйства Свердловской области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Вшивцева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Марина Николаевна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исполнительный вице-президент Регионального объединения работодателей «Свердловский областной Союз промышленников и предпринимателей»</w:t>
            </w:r>
            <w:r>
              <w:rPr>
                <w:rFonts w:ascii="Liberation Serif" w:hAnsi="Liberation Serif" w:cs="Liberation Serif"/>
              </w:rPr>
              <w:t xml:space="preserve"> (по согласованию)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7.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Зеленов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Юрий Николаевич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trike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Calibri"/>
                <w:strike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Заместитель Министра образования 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  <w:r>
              <w:rPr>
                <w:rFonts w:ascii="Liberation Serif" w:hAnsi="Liberation Serif" w:cs="Liberation Serif"/>
                <w:color w:val="000000"/>
              </w:rPr>
              <w:t xml:space="preserve">и молодежной политики Свердловской области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8.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Казаков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Александр Александрович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Руководитель регионального центра компетенций в сфере производительности труда, заместитель генерального директора фонда «Фонд технологического развития промышленности Свердловской области»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(по согласованию)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9.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Лаврикова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Юлия Георгиевна 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bCs/>
              </w:rPr>
              <w:t xml:space="preserve">Директор ФГБУН Института экономики Уральского отделения Российской академии наук</w:t>
            </w:r>
            <w:r>
              <w:rPr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(по согласованию)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10</w:t>
            </w:r>
            <w:r>
              <w:rPr>
                <w:rFonts w:ascii="Liberation Serif" w:hAnsi="Liberation Serif" w:cs="Liberation Serif"/>
                <w:color w:val="000000"/>
              </w:rPr>
              <w:t xml:space="preserve">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Лунегова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Наталья Витальевна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Начальник отдела мониторинга и контроля реализации документов стратегического планирования Свердловской области Министерства экономики и территориальног</w:t>
            </w:r>
            <w:r>
              <w:rPr>
                <w:rFonts w:ascii="Liberation Serif" w:hAnsi="Liberation Serif" w:cs="Liberation Serif"/>
                <w:color w:val="000000"/>
              </w:rPr>
              <w:t xml:space="preserve">о развития Свердловской области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trike/>
                <w:color w:val="000000"/>
              </w:rPr>
            </w:pPr>
            <w:r>
              <w:rPr>
                <w:rFonts w:ascii="Liberation Serif" w:hAnsi="Liberation Serif" w:cs="Liberation Serif"/>
                <w:strike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11.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Зеленкин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Игорь Федорович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Заместитель Министра промышленности 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  <w:r>
              <w:rPr>
                <w:rFonts w:ascii="Liberation Serif" w:hAnsi="Liberation Serif" w:cs="Liberation Serif"/>
                <w:color w:val="000000"/>
              </w:rPr>
              <w:t xml:space="preserve">и науки Свердловской области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trike/>
                <w:color w:val="000000"/>
              </w:rPr>
            </w:pPr>
            <w:r>
              <w:rPr>
                <w:rFonts w:ascii="Liberation Serif" w:hAnsi="Liberation Serif" w:cs="Liberation Serif"/>
                <w:strike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12</w:t>
            </w:r>
            <w:r>
              <w:rPr>
                <w:rFonts w:ascii="Liberation Serif" w:hAnsi="Liberation Serif" w:cs="Liberation Serif"/>
                <w:color w:val="000000"/>
              </w:rPr>
              <w:t xml:space="preserve">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Власов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Семен Васильевич</w:t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Заместитель Министра агропромышленного комплекса и потребительского рынка Свердловской области</w:t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85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13</w:t>
            </w:r>
            <w:r>
              <w:rPr>
                <w:rFonts w:ascii="Liberation Serif" w:hAnsi="Liberation Serif" w:cs="Liberation Serif"/>
                <w:color w:val="000000"/>
              </w:rPr>
              <w:t xml:space="preserve">.</w:t>
            </w:r>
            <w:r/>
          </w:p>
        </w:tc>
        <w:tc>
          <w:tcPr>
            <w:shd w:val="clear" w:color="auto" w:fill="auto"/>
            <w:tcW w:w="30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Шафаростов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Антон Анатольевич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shd w:val="clear" w:color="auto" w:fill="auto"/>
            <w:tcW w:w="3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–</w:t>
            </w:r>
            <w:r/>
          </w:p>
        </w:tc>
        <w:tc>
          <w:tcPr>
            <w:shd w:val="clear" w:color="auto" w:fill="auto"/>
            <w:tcW w:w="600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Calibri"/>
                <w:color w:val="000000"/>
                <w:lang w:eastAsia="en-US"/>
              </w:rPr>
              <w:t xml:space="preserve">Заместитель Министра строительства и развития инфраструктуры Свердловской области</w:t>
            </w:r>
            <w:r/>
          </w:p>
        </w:tc>
      </w:tr>
    </w:tbl>
    <w:p>
      <w:pPr>
        <w:rPr>
          <w:rFonts w:ascii="Liberation Serif" w:hAnsi="Liberation Serif" w:cs="Liberation Serif"/>
          <w:color w:val="111111"/>
          <w:sz w:val="27"/>
          <w:szCs w:val="27"/>
        </w:rPr>
        <w:outlineLvl w:val="2"/>
      </w:pPr>
      <w:r>
        <w:rPr>
          <w:rFonts w:ascii="Liberation Serif" w:hAnsi="Liberation Serif" w:cs="Liberation Serif"/>
          <w:color w:val="111111"/>
          <w:sz w:val="27"/>
          <w:szCs w:val="27"/>
        </w:rPr>
      </w:r>
      <w:r/>
    </w:p>
    <w:p>
      <w:pPr>
        <w:jc w:val="center"/>
        <w:spacing w:lineRule="auto" w:line="230"/>
        <w:rPr>
          <w:rFonts w:ascii="Liberation Serif" w:hAnsi="Liberation Serif" w:cs="Liberation Serif"/>
          <w:b/>
        </w:rPr>
        <w:sectPr>
          <w:headerReference w:type="default" r:id="rId8"/>
          <w:footnotePr/>
          <w:type w:val="nextPage"/>
          <w:pgSz w:w="11906" w:h="16838" w:orient="portrait"/>
          <w:pgMar w:top="1134" w:right="567" w:bottom="1134" w:left="1418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b/>
        </w:rPr>
      </w:r>
      <w:r/>
    </w:p>
    <w:p>
      <w:pPr>
        <w:ind w:left="5670" w:right="-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</w:t>
      </w:r>
      <w:r>
        <w:rPr>
          <w:rFonts w:ascii="Liberation Serif" w:hAnsi="Liberation Serif" w:cs="Liberation Serif"/>
        </w:rPr>
        <w:t xml:space="preserve">е</w:t>
      </w:r>
      <w:r>
        <w:rPr>
          <w:rFonts w:ascii="Liberation Serif" w:hAnsi="Liberation Serif" w:cs="Liberation Serif"/>
        </w:rPr>
        <w:t xml:space="preserve"> № 1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к Положению </w:t>
      </w:r>
      <w:r>
        <w:rPr>
          <w:rFonts w:ascii="Liberation Serif" w:hAnsi="Liberation Serif" w:cs="Liberation Serif"/>
        </w:rPr>
        <w:t xml:space="preserve">о проведении пилотного конкурса «Лучшие практики наставничества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– 2019»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в Свердловской области</w:t>
      </w:r>
      <w:r/>
    </w:p>
    <w:p>
      <w:pPr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jc w:val="center"/>
        <w:rPr>
          <w:rFonts w:ascii="Liberation Serif" w:hAnsi="Liberation Serif" w:cs="Liberation Serif" w:eastAsia="Calibri"/>
          <w:b/>
          <w:lang w:eastAsia="en-US"/>
        </w:rPr>
      </w:pPr>
      <w:r>
        <w:rPr>
          <w:rFonts w:ascii="Liberation Serif" w:hAnsi="Liberation Serif" w:cs="Liberation Serif" w:eastAsia="Calibri"/>
          <w:b/>
          <w:lang w:eastAsia="en-US"/>
        </w:rPr>
        <w:t xml:space="preserve">ЗАЯВКА</w:t>
      </w:r>
      <w:r/>
    </w:p>
    <w:p>
      <w:pPr>
        <w:jc w:val="center"/>
        <w:rPr>
          <w:rFonts w:ascii="Calibri" w:hAnsi="Calibri" w:cs="Calibri" w:eastAsia="Calibri"/>
          <w:b/>
          <w:sz w:val="27"/>
          <w:szCs w:val="27"/>
          <w:lang w:eastAsia="en-US"/>
        </w:rPr>
      </w:pPr>
      <w:r>
        <w:rPr>
          <w:rFonts w:ascii="Liberation Serif" w:hAnsi="Liberation Serif" w:cs="Liberation Serif" w:eastAsia="Calibri"/>
          <w:b/>
          <w:lang w:eastAsia="en-US"/>
        </w:rPr>
        <w:t xml:space="preserve">на участие в пилотном конкурсе</w:t>
      </w:r>
      <w:r>
        <w:rPr>
          <w:rFonts w:ascii="Calibri" w:hAnsi="Calibri" w:cs="Calibri" w:eastAsia="Calibri"/>
          <w:b/>
          <w:sz w:val="27"/>
          <w:szCs w:val="27"/>
          <w:lang w:eastAsia="en-US"/>
        </w:rPr>
        <w:t xml:space="preserve"> </w:t>
      </w:r>
      <w:r/>
    </w:p>
    <w:p>
      <w:pPr>
        <w:jc w:val="center"/>
        <w:rPr>
          <w:rFonts w:ascii="Liberation Serif" w:hAnsi="Liberation Serif" w:cs="Liberation Serif" w:eastAsia="Calibri"/>
          <w:b/>
          <w:lang w:eastAsia="en-US"/>
        </w:rPr>
      </w:pPr>
      <w:r>
        <w:rPr>
          <w:rFonts w:ascii="Liberation Serif" w:hAnsi="Liberation Serif" w:cs="Liberation Serif" w:eastAsia="Calibri"/>
          <w:b/>
          <w:lang w:eastAsia="en-US"/>
        </w:rPr>
        <w:t xml:space="preserve">«Лучшие практики наставничества – 2019» в Свердловской области</w:t>
      </w:r>
      <w:r/>
    </w:p>
    <w:p>
      <w:pPr>
        <w:jc w:val="center"/>
        <w:rPr>
          <w:rFonts w:ascii="Liberation Serif" w:hAnsi="Liberation Serif" w:cs="Liberation Serif" w:eastAsia="Calibri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</w:r>
      <w:r/>
    </w:p>
    <w:p>
      <w:pPr>
        <w:jc w:val="both"/>
        <w:rPr>
          <w:rFonts w:ascii="Liberation Serif" w:hAnsi="Liberation Serif" w:cs="Liberation Serif" w:eastAsia="Calibri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  <w:t xml:space="preserve">1. Прошу включить в число участников пилотного конкурса</w:t>
      </w:r>
      <w:r>
        <w:rPr>
          <w:rFonts w:ascii="Calibri" w:hAnsi="Calibri" w:cs="Calibri" w:eastAsia="Calibri"/>
          <w:sz w:val="27"/>
          <w:szCs w:val="27"/>
          <w:lang w:eastAsia="en-US"/>
        </w:rPr>
        <w:t xml:space="preserve"> </w:t>
      </w:r>
      <w:r>
        <w:rPr>
          <w:rFonts w:ascii="Liberation Serif" w:hAnsi="Liberation Serif" w:cs="Liberation Serif" w:eastAsia="Calibri"/>
          <w:lang w:eastAsia="en-US"/>
        </w:rPr>
        <w:t xml:space="preserve">«Лучшие практики наставничества – 2019» в Свердловской области:</w:t>
      </w:r>
      <w:r/>
    </w:p>
    <w:p>
      <w:pPr>
        <w:jc w:val="both"/>
        <w:rPr>
          <w:rFonts w:ascii="Liberation Serif" w:hAnsi="Liberation Serif" w:cs="Liberation Serif" w:eastAsia="Calibri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</w:r>
      <w:r/>
    </w:p>
    <w:tbl>
      <w:tblPr>
        <w:tblStyle w:val="207"/>
        <w:tblW w:w="9918" w:type="dxa"/>
        <w:tblLook w:val="04A0" w:firstRow="1" w:lastRow="0" w:firstColumn="1" w:lastColumn="0" w:noHBand="0" w:noVBand="1"/>
      </w:tblPr>
      <w:tblGrid>
        <w:gridCol w:w="566"/>
        <w:gridCol w:w="5665"/>
        <w:gridCol w:w="3687"/>
      </w:tblGrid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№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Раздел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Комментарий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Название организации-участника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2.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Ф.И.О., должность наставника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3.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Размер организации-участника</w:t>
            </w:r>
            <w:r>
              <w:rPr>
                <w:rFonts w:ascii="Liberation Serif" w:hAnsi="Liberation Serif" w:cs="Liberation Serif" w:eastAsia="Calibri"/>
                <w:lang w:eastAsia="en-US"/>
              </w:rPr>
              <w:t xml:space="preserve"> (среднесписочная численность организации)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Менее 100 чел.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101-500 чел.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501-1000 чел.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1001-3000 чел.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3001-10 000 чел.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Более 10 000 чел.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4.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Отрасль организации-участника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обрабатывающая</w:t>
            </w: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промышленность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сельское хозяйство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транспорт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строительство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Жилищно-коммунальное хозяйство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5.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Название проекта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6.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Номинация в конкурсе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Наставничество в области повышения производительности труда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Наставничество в профессиональном самоопределении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Наставничество в профессиональном развитии молодежи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Наставничество в области прорывных технологий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7.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Контактная информация (организации-участника, контактного лица)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8.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Предпосылки для запуска проекта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9.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Цели и задачи проекта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10.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Целевая аудитория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11.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Суть проекта, ключевая идея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12.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Использование методики и инструменты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13.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Ресурсы, использованные для проекта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14.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Этапы реализации проекта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15.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Результаты и оценка эффективности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16.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Зрелость практики (выбрать)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Базовый уровень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Развитие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Стабилизация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Calibri"/>
                <w:i/>
                <w:lang w:eastAsia="en-US"/>
              </w:rPr>
            </w:pPr>
            <w:r>
              <w:rPr>
                <w:rFonts w:ascii="Liberation Serif" w:hAnsi="Liberation Serif" w:cs="Liberation Serif" w:eastAsia="Calibri"/>
                <w:i/>
                <w:lang w:eastAsia="en-US"/>
              </w:rPr>
              <w:t xml:space="preserve">Подтвержденная эффективность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17.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Возможность тиражирования </w:t>
            </w:r>
            <w:r>
              <w:rPr>
                <w:rFonts w:ascii="Liberation Serif" w:hAnsi="Liberation Serif" w:cs="Liberation Serif" w:eastAsia="Calibri"/>
                <w:lang w:eastAsia="en-US"/>
              </w:rPr>
              <w:br/>
            </w:r>
            <w:r>
              <w:rPr>
                <w:rFonts w:ascii="Liberation Serif" w:hAnsi="Liberation Serif" w:cs="Liberation Serif" w:eastAsia="Calibri"/>
                <w:lang w:eastAsia="en-US"/>
              </w:rPr>
              <w:t xml:space="preserve">и масштабирования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18.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Презентация проекта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19.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Дополнительные материалы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20.</w:t>
            </w:r>
            <w:r/>
          </w:p>
        </w:tc>
        <w:tc>
          <w:tcPr>
            <w:tcW w:w="566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  <w:t xml:space="preserve">Рабочая группа/ авторы проекта/ наставник</w:t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Calibri"/>
                <w:lang w:eastAsia="en-US"/>
              </w:rPr>
            </w:pPr>
            <w:r>
              <w:rPr>
                <w:rFonts w:ascii="Liberation Serif" w:hAnsi="Liberation Serif" w:cs="Liberation Serif" w:eastAsia="Calibri"/>
                <w:lang w:eastAsia="en-US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 w:eastAsia="Calibri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</w:r>
      <w:r/>
    </w:p>
    <w:p>
      <w:pPr>
        <w:jc w:val="both"/>
        <w:rPr>
          <w:rFonts w:ascii="Liberation Serif" w:hAnsi="Liberation Serif" w:cs="Liberation Serif" w:eastAsia="Calibri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  <w:t xml:space="preserve">2. С условиями проведения Конкурса ознакомлены и согласны.</w:t>
      </w:r>
      <w:r/>
    </w:p>
    <w:p>
      <w:pPr>
        <w:jc w:val="both"/>
        <w:rPr>
          <w:rFonts w:ascii="Liberation Serif" w:hAnsi="Liberation Serif" w:cs="Liberation Serif" w:eastAsia="Calibri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  <w:t xml:space="preserve">3. От имени юридического лица субъекта Российской Федерации (организац</w:t>
      </w:r>
      <w:r>
        <w:rPr>
          <w:rFonts w:ascii="Liberation Serif" w:hAnsi="Liberation Serif" w:cs="Liberation Serif" w:eastAsia="Calibri"/>
          <w:lang w:eastAsia="en-US"/>
        </w:rPr>
        <w:t xml:space="preserve">ии 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организации-участнике (в России) в период с_______ по _______.</w:t>
      </w:r>
      <w:r/>
    </w:p>
    <w:p>
      <w:pPr>
        <w:jc w:val="both"/>
        <w:rPr>
          <w:rFonts w:ascii="Liberation Serif" w:hAnsi="Liberation Serif" w:cs="Liberation Serif" w:eastAsia="Calibri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  <w:t xml:space="preserve">4. Разрешаю Организатору Конкурса использовать представленные данные в образовательных и исследовательских целях</w:t>
      </w:r>
      <w:r>
        <w:rPr>
          <w:rFonts w:ascii="Liberation Serif" w:hAnsi="Liberation Serif" w:cs="Liberation Serif" w:eastAsia="Calibri"/>
          <w:lang w:eastAsia="en-US"/>
        </w:rPr>
        <w:t xml:space="preserve">, а также для распространения.</w:t>
      </w:r>
      <w:r/>
    </w:p>
    <w:p>
      <w:pPr>
        <w:rPr>
          <w:rFonts w:ascii="Liberation Serif" w:hAnsi="Liberation Serif" w:cs="Liberation Serif" w:eastAsia="Calibri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</w:r>
      <w:r/>
    </w:p>
    <w:p>
      <w:pPr>
        <w:spacing w:lineRule="auto" w:line="259"/>
        <w:rPr>
          <w:rFonts w:ascii="Calibri" w:hAnsi="Calibri" w:cs="Calibri" w:eastAsia="Calibri"/>
          <w:sz w:val="22"/>
          <w:szCs w:val="22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  <w:t xml:space="preserve">_______________________________    «___» ______________ 2019 г.</w:t>
      </w:r>
      <w:r/>
    </w:p>
    <w:p>
      <w:pPr>
        <w:rPr>
          <w:rFonts w:ascii="Liberation Serif" w:hAnsi="Liberation Serif" w:cs="Liberation Serif" w:eastAsia="Calibri"/>
          <w:lang w:eastAsia="en-US"/>
        </w:rPr>
      </w:pPr>
      <w:r>
        <w:rPr>
          <w:rFonts w:ascii="Liberation Serif" w:hAnsi="Liberation Serif" w:cs="Liberation Serif" w:eastAsia="Calibri"/>
          <w:lang w:eastAsia="en-US"/>
        </w:rPr>
        <w:t xml:space="preserve">Ф</w:t>
      </w:r>
      <w:r>
        <w:rPr>
          <w:rFonts w:ascii="Liberation Serif" w:hAnsi="Liberation Serif" w:cs="Liberation Serif" w:eastAsia="Calibri"/>
          <w:lang w:eastAsia="en-US"/>
        </w:rPr>
        <w:t xml:space="preserve">.</w:t>
      </w:r>
      <w:r>
        <w:rPr>
          <w:rFonts w:ascii="Liberation Serif" w:hAnsi="Liberation Serif" w:cs="Liberation Serif" w:eastAsia="Calibri"/>
          <w:lang w:eastAsia="en-US"/>
        </w:rPr>
        <w:t xml:space="preserve">И</w:t>
      </w:r>
      <w:r>
        <w:rPr>
          <w:rFonts w:ascii="Liberation Serif" w:hAnsi="Liberation Serif" w:cs="Liberation Serif" w:eastAsia="Calibri"/>
          <w:lang w:eastAsia="en-US"/>
        </w:rPr>
        <w:t xml:space="preserve">.</w:t>
      </w:r>
      <w:r>
        <w:rPr>
          <w:rFonts w:ascii="Liberation Serif" w:hAnsi="Liberation Serif" w:cs="Liberation Serif" w:eastAsia="Calibri"/>
          <w:lang w:eastAsia="en-US"/>
        </w:rPr>
        <w:t xml:space="preserve">О</w:t>
      </w:r>
      <w:r>
        <w:rPr>
          <w:rFonts w:ascii="Liberation Serif" w:hAnsi="Liberation Serif" w:cs="Liberation Serif" w:eastAsia="Calibri"/>
          <w:lang w:eastAsia="en-US"/>
        </w:rPr>
        <w:t xml:space="preserve">.</w:t>
      </w:r>
      <w:r>
        <w:rPr>
          <w:rFonts w:ascii="Liberation Serif" w:hAnsi="Liberation Serif" w:cs="Liberation Serif" w:eastAsia="Calibri"/>
          <w:lang w:eastAsia="en-US"/>
        </w:rPr>
        <w:t xml:space="preserve">/руководитель</w:t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ind w:left="5670" w:right="-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</w:t>
      </w:r>
      <w:r>
        <w:rPr>
          <w:rFonts w:ascii="Liberation Serif" w:hAnsi="Liberation Serif" w:cs="Liberation Serif"/>
        </w:rPr>
        <w:t xml:space="preserve">е</w:t>
      </w:r>
      <w:r>
        <w:rPr>
          <w:rFonts w:ascii="Liberation Serif" w:hAnsi="Liberation Serif" w:cs="Liberation Serif"/>
        </w:rPr>
        <w:t xml:space="preserve"> №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2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к Положению о проведении пилотного конкурса «Лучшие практики наставничества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– 2019»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 xml:space="preserve">в </w:t>
      </w:r>
      <w:r>
        <w:rPr>
          <w:rFonts w:ascii="Liberation Serif" w:hAnsi="Liberation Serif" w:cs="Liberation Serif"/>
        </w:rPr>
        <w:t xml:space="preserve">Свердловской области</w:t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БЛАНК ОЦЕНКИ</w:t>
      </w:r>
      <w:r/>
    </w:p>
    <w:p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/>
        </w:rPr>
        <w:t xml:space="preserve">заявок </w:t>
      </w:r>
      <w:r>
        <w:rPr>
          <w:rFonts w:ascii="Liberation Serif" w:hAnsi="Liberation Serif" w:cs="Liberation Serif"/>
          <w:b/>
        </w:rPr>
        <w:t xml:space="preserve">пилотного </w:t>
      </w:r>
      <w:r>
        <w:rPr>
          <w:rFonts w:ascii="Liberation Serif" w:hAnsi="Liberation Serif" w:cs="Liberation Serif"/>
          <w:b/>
        </w:rPr>
        <w:t xml:space="preserve">конкурса «Лучшие практики наставничества – 2019» </w:t>
      </w:r>
      <w:r>
        <w:rPr>
          <w:rFonts w:ascii="Liberation Serif" w:hAnsi="Liberation Serif" w:cs="Liberation Serif"/>
          <w:b/>
        </w:rPr>
        <w:br/>
        <w:t xml:space="preserve">в Свердловской области </w:t>
      </w:r>
      <w:r/>
    </w:p>
    <w:p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</w:r>
      <w:r/>
    </w:p>
    <w:tbl>
      <w:tblPr>
        <w:tblStyle w:val="207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072"/>
        <w:gridCol w:w="992"/>
        <w:gridCol w:w="749"/>
        <w:gridCol w:w="749"/>
        <w:gridCol w:w="750"/>
        <w:gridCol w:w="750"/>
        <w:gridCol w:w="971"/>
        <w:gridCol w:w="1338"/>
        <w:gridCol w:w="1276"/>
      </w:tblGrid>
      <w:tr>
        <w:trPr/>
        <w:tc>
          <w:tcPr>
            <w:tcW w:w="4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№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Номи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нация</w:t>
            </w:r>
            <w:r/>
          </w:p>
        </w:tc>
        <w:tc>
          <w:tcPr>
            <w:tcW w:w="1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Наимено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вание практики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Наимено- вание организации</w:t>
            </w:r>
            <w:r/>
          </w:p>
        </w:tc>
        <w:tc>
          <w:tcPr>
            <w:gridSpan w:val="7"/>
            <w:tcW w:w="658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Ф.И.О. эксперта</w:t>
            </w:r>
            <w:r/>
          </w:p>
        </w:tc>
      </w:tr>
      <w:tr>
        <w:trPr/>
        <w:tc>
          <w:tcPr>
            <w:tcW w:w="42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07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gridSpan w:val="4"/>
            <w:tcW w:w="299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Оценка по критериям от 1 до 10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(1 - полное несоответствие, 10 – превосходная степень соответствия)</w:t>
            </w:r>
            <w:r/>
          </w:p>
        </w:tc>
        <w:tc>
          <w:tcPr>
            <w:tcW w:w="9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Сумма баллов (5,6,7,8)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Рейтинг практики (1 – лучшая по суммарному баллу)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Комментарий эксперта (особен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ности, основные плюсы, минусы, другое)</w:t>
            </w:r>
            <w:r/>
          </w:p>
        </w:tc>
      </w:tr>
      <w:tr>
        <w:trPr/>
        <w:tc>
          <w:tcPr>
            <w:tcW w:w="42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07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тат прак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тики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каль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ность прак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тики</w:t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ность тира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жирования</w:t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зможность масш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таби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рова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</w:rPr>
              <w:t xml:space="preserve">ния</w:t>
            </w:r>
            <w:r/>
          </w:p>
        </w:tc>
        <w:tc>
          <w:tcPr>
            <w:tcW w:w="9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</w:t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</w:t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</w:t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</w:t>
            </w:r>
            <w:r/>
          </w:p>
        </w:tc>
        <w:tc>
          <w:tcPr>
            <w:tcW w:w="9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</w:t>
            </w:r>
            <w:r/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07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9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  <w:t xml:space="preserve">                                               </w:t>
      </w:r>
      <w:r>
        <w:rPr>
          <w:rFonts w:ascii="Liberation Serif" w:hAnsi="Liberation Serif" w:cs="Liberation Serif"/>
        </w:rPr>
        <w:t xml:space="preserve">____________________________________________</w:t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(Ф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cs="Liberation Serif"/>
          <w:sz w:val="24"/>
          <w:szCs w:val="24"/>
        </w:rPr>
        <w:t xml:space="preserve"> эксперта)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Дата оценки «___» __________2019 год</w:t>
      </w:r>
      <w:r/>
    </w:p>
    <w:p>
      <w:pPr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spacing w:val="20"/>
          <w:sz w:val="24"/>
          <w:szCs w:val="24"/>
        </w:rPr>
      </w:pPr>
      <w:r>
        <w:rPr>
          <w:rFonts w:ascii="Liberation Serif" w:hAnsi="Liberation Serif" w:cs="Liberation Serif"/>
          <w:b/>
          <w:spacing w:val="20"/>
          <w:sz w:val="24"/>
          <w:szCs w:val="24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sectPr>
      <w:foot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Che">
    <w:panose1 w:val="02060606050605020204"/>
  </w:font>
  <w:font w:name="Courier New">
    <w:panose1 w:val="02070409020205020404"/>
  </w:font>
  <w:font w:name="Segoe UI">
    <w:panose1 w:val="020B0503020203020204"/>
  </w:font>
  <w:font w:name="Tahoma">
    <w:panose1 w:val="020B0606030504020204"/>
  </w:font>
  <w:font w:name="Liberation Serif">
    <w:panose1 w:val="02020803070505020304"/>
  </w:font>
  <w:font w:name="Times New Roman">
    <w:panose1 w:val="02020603050405020304"/>
  </w:font>
  <w:font w:name="Arial">
    <w:panose1 w:val="020B0A040201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79151948"/>
      <w:docPartObj>
        <w:docPartGallery w:val="Page Numbers (Top of Page)"/>
        <w:docPartUnique w:val="true"/>
      </w:docPartObj>
    </w:sdtPr>
    <w:sdtContent>
      <w:p>
        <w:pPr>
          <w:pStyle w:val="198"/>
          <w:jc w:val="center"/>
          <w:rPr>
            <w:rFonts w:ascii="Liberation Serif" w:hAnsi="Liberation Serif" w:cs="Liberation Serif"/>
          </w:rPr>
        </w:pPr>
        <w:r>
          <w:rPr>
            <w:rFonts w:ascii="Liberation Serif" w:hAnsi="Liberation Serif" w:cs="Liberation Serif"/>
          </w:rPr>
          <w:fldChar w:fldCharType="begin"/>
        </w:r>
        <w:r>
          <w:rPr>
            <w:rFonts w:ascii="Liberation Serif" w:hAnsi="Liberation Serif" w:cs="Liberation Serif"/>
          </w:rPr>
          <w:instrText xml:space="preserve">PAGE   \* MERGEFORMAT</w:instrText>
        </w:r>
        <w:r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</w:rPr>
          <w:t xml:space="preserve">8</w:t>
        </w:r>
        <w:r>
          <w:rPr>
            <w:rFonts w:ascii="Liberation Serif" w:hAnsi="Liberation Serif" w:cs="Liberation Serif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20" w:hanging="360"/>
      </w:pPr>
    </w:lvl>
    <w:lvl w:ilvl="2">
      <w:start w:val="1"/>
      <w:numFmt w:val="lowerRoman"/>
      <w:suff w:val="tab"/>
      <w:lvlText w:val="%3."/>
      <w:lvlJc w:val="right"/>
      <w:pPr>
        <w:ind w:left="2340" w:hanging="180"/>
      </w:pPr>
    </w:lvl>
    <w:lvl w:ilvl="3">
      <w:start w:val="1"/>
      <w:numFmt w:val="decimal"/>
      <w:suff w:val="tab"/>
      <w:lvlText w:val="%4."/>
      <w:lvlJc w:val="left"/>
      <w:pPr>
        <w:ind w:left="3060" w:hanging="360"/>
      </w:pPr>
    </w:lvl>
    <w:lvl w:ilvl="4">
      <w:start w:val="1"/>
      <w:numFmt w:val="lowerLetter"/>
      <w:suff w:val="tab"/>
      <w:lvlText w:val="%5."/>
      <w:lvlJc w:val="left"/>
      <w:pPr>
        <w:ind w:left="3780" w:hanging="360"/>
      </w:pPr>
    </w:lvl>
    <w:lvl w:ilvl="5">
      <w:start w:val="1"/>
      <w:numFmt w:val="lowerRoman"/>
      <w:suff w:val="tab"/>
      <w:lvlText w:val="%6."/>
      <w:lvlJc w:val="right"/>
      <w:pPr>
        <w:ind w:left="4500" w:hanging="180"/>
      </w:pPr>
    </w:lvl>
    <w:lvl w:ilvl="6">
      <w:start w:val="1"/>
      <w:numFmt w:val="decimal"/>
      <w:suff w:val="tab"/>
      <w:lvlText w:val="%7."/>
      <w:lvlJc w:val="left"/>
      <w:pPr>
        <w:ind w:left="5220" w:hanging="360"/>
      </w:pPr>
    </w:lvl>
    <w:lvl w:ilvl="7">
      <w:start w:val="1"/>
      <w:numFmt w:val="lowerLetter"/>
      <w:suff w:val="tab"/>
      <w:lvlText w:val="%8."/>
      <w:lvlJc w:val="left"/>
      <w:pPr>
        <w:ind w:left="5940" w:hanging="360"/>
      </w:pPr>
    </w:lvl>
    <w:lvl w:ilvl="8">
      <w:start w:val="1"/>
      <w:numFmt w:val="lowerRoman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</w:lvl>
    <w:lvl w:ilvl="1">
      <w:start w:val="1"/>
      <w:numFmt w:val="lowerLetter"/>
      <w:suff w:val="tab"/>
      <w:lvlText w:val="%2."/>
      <w:lvlJc w:val="left"/>
      <w:pPr>
        <w:ind w:left="1222" w:hanging="360"/>
      </w:pPr>
    </w:lvl>
    <w:lvl w:ilvl="2">
      <w:start w:val="1"/>
      <w:numFmt w:val="lowerRoman"/>
      <w:suff w:val="tab"/>
      <w:lvlText w:val="%3."/>
      <w:lvlJc w:val="right"/>
      <w:pPr>
        <w:ind w:left="1942" w:hanging="180"/>
      </w:pPr>
    </w:lvl>
    <w:lvl w:ilvl="3">
      <w:start w:val="1"/>
      <w:numFmt w:val="decimal"/>
      <w:suff w:val="tab"/>
      <w:lvlText w:val="%4."/>
      <w:lvlJc w:val="left"/>
      <w:pPr>
        <w:ind w:left="2662" w:hanging="360"/>
      </w:pPr>
    </w:lvl>
    <w:lvl w:ilvl="4">
      <w:start w:val="1"/>
      <w:numFmt w:val="lowerLetter"/>
      <w:suff w:val="tab"/>
      <w:lvlText w:val="%5."/>
      <w:lvlJc w:val="left"/>
      <w:pPr>
        <w:ind w:left="3382" w:hanging="360"/>
      </w:pPr>
    </w:lvl>
    <w:lvl w:ilvl="5">
      <w:start w:val="1"/>
      <w:numFmt w:val="lowerRoman"/>
      <w:suff w:val="tab"/>
      <w:lvlText w:val="%6."/>
      <w:lvlJc w:val="right"/>
      <w:pPr>
        <w:ind w:left="4102" w:hanging="180"/>
      </w:pPr>
    </w:lvl>
    <w:lvl w:ilvl="6">
      <w:start w:val="1"/>
      <w:numFmt w:val="decimal"/>
      <w:suff w:val="tab"/>
      <w:lvlText w:val="%7."/>
      <w:lvlJc w:val="left"/>
      <w:pPr>
        <w:ind w:left="4822" w:hanging="360"/>
      </w:pPr>
    </w:lvl>
    <w:lvl w:ilvl="7">
      <w:start w:val="1"/>
      <w:numFmt w:val="lowerLetter"/>
      <w:suff w:val="tab"/>
      <w:lvlText w:val="%8."/>
      <w:lvlJc w:val="left"/>
      <w:pPr>
        <w:ind w:left="5542" w:hanging="360"/>
      </w:pPr>
    </w:lvl>
    <w:lvl w:ilvl="8">
      <w:start w:val="1"/>
      <w:numFmt w:val="lowerRoman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ind w:left="1470" w:hanging="93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20" w:hanging="360"/>
      </w:pPr>
    </w:lvl>
    <w:lvl w:ilvl="2">
      <w:start w:val="1"/>
      <w:numFmt w:val="lowerRoman"/>
      <w:suff w:val="tab"/>
      <w:lvlText w:val="%3."/>
      <w:lvlJc w:val="right"/>
      <w:pPr>
        <w:ind w:left="2340" w:hanging="180"/>
      </w:pPr>
    </w:lvl>
    <w:lvl w:ilvl="3">
      <w:start w:val="1"/>
      <w:numFmt w:val="decimal"/>
      <w:suff w:val="tab"/>
      <w:lvlText w:val="%4."/>
      <w:lvlJc w:val="left"/>
      <w:pPr>
        <w:ind w:left="3060" w:hanging="360"/>
      </w:pPr>
    </w:lvl>
    <w:lvl w:ilvl="4">
      <w:start w:val="1"/>
      <w:numFmt w:val="lowerLetter"/>
      <w:suff w:val="tab"/>
      <w:lvlText w:val="%5."/>
      <w:lvlJc w:val="left"/>
      <w:pPr>
        <w:ind w:left="3780" w:hanging="360"/>
      </w:pPr>
    </w:lvl>
    <w:lvl w:ilvl="5">
      <w:start w:val="1"/>
      <w:numFmt w:val="lowerRoman"/>
      <w:suff w:val="tab"/>
      <w:lvlText w:val="%6."/>
      <w:lvlJc w:val="right"/>
      <w:pPr>
        <w:ind w:left="4500" w:hanging="180"/>
      </w:pPr>
    </w:lvl>
    <w:lvl w:ilvl="6">
      <w:start w:val="1"/>
      <w:numFmt w:val="decimal"/>
      <w:suff w:val="tab"/>
      <w:lvlText w:val="%7."/>
      <w:lvlJc w:val="left"/>
      <w:pPr>
        <w:ind w:left="5220" w:hanging="360"/>
      </w:pPr>
    </w:lvl>
    <w:lvl w:ilvl="7">
      <w:start w:val="1"/>
      <w:numFmt w:val="lowerLetter"/>
      <w:suff w:val="tab"/>
      <w:lvlText w:val="%8."/>
      <w:lvlJc w:val="left"/>
      <w:pPr>
        <w:ind w:left="5940" w:hanging="360"/>
      </w:pPr>
    </w:lvl>
    <w:lvl w:ilvl="8">
      <w:start w:val="1"/>
      <w:numFmt w:val="lowerRoman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20" w:hanging="360"/>
      </w:pPr>
    </w:lvl>
    <w:lvl w:ilvl="2">
      <w:start w:val="1"/>
      <w:numFmt w:val="lowerRoman"/>
      <w:suff w:val="tab"/>
      <w:lvlText w:val="%3."/>
      <w:lvlJc w:val="right"/>
      <w:pPr>
        <w:ind w:left="2340" w:hanging="180"/>
      </w:pPr>
    </w:lvl>
    <w:lvl w:ilvl="3">
      <w:start w:val="1"/>
      <w:numFmt w:val="decimal"/>
      <w:suff w:val="tab"/>
      <w:lvlText w:val="%4."/>
      <w:lvlJc w:val="left"/>
      <w:pPr>
        <w:ind w:left="3060" w:hanging="360"/>
      </w:pPr>
    </w:lvl>
    <w:lvl w:ilvl="4">
      <w:start w:val="1"/>
      <w:numFmt w:val="lowerLetter"/>
      <w:suff w:val="tab"/>
      <w:lvlText w:val="%5."/>
      <w:lvlJc w:val="left"/>
      <w:pPr>
        <w:ind w:left="3780" w:hanging="360"/>
      </w:pPr>
    </w:lvl>
    <w:lvl w:ilvl="5">
      <w:start w:val="1"/>
      <w:numFmt w:val="lowerRoman"/>
      <w:suff w:val="tab"/>
      <w:lvlText w:val="%6."/>
      <w:lvlJc w:val="right"/>
      <w:pPr>
        <w:ind w:left="4500" w:hanging="180"/>
      </w:pPr>
    </w:lvl>
    <w:lvl w:ilvl="6">
      <w:start w:val="1"/>
      <w:numFmt w:val="decimal"/>
      <w:suff w:val="tab"/>
      <w:lvlText w:val="%7."/>
      <w:lvlJc w:val="left"/>
      <w:pPr>
        <w:ind w:left="5220" w:hanging="360"/>
      </w:pPr>
    </w:lvl>
    <w:lvl w:ilvl="7">
      <w:start w:val="1"/>
      <w:numFmt w:val="lowerLetter"/>
      <w:suff w:val="tab"/>
      <w:lvlText w:val="%8."/>
      <w:lvlJc w:val="left"/>
      <w:pPr>
        <w:ind w:left="5940" w:hanging="360"/>
      </w:pPr>
    </w:lvl>
    <w:lvl w:ilvl="8">
      <w:start w:val="1"/>
      <w:numFmt w:val="lowerRoman"/>
      <w:suff w:val="tab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88"/>
    <w:next w:val="18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8"/>
    <w:next w:val="1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8"/>
    <w:next w:val="1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8"/>
    <w:next w:val="1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8"/>
    <w:next w:val="1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8"/>
    <w:next w:val="1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8"/>
    <w:next w:val="1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8"/>
    <w:next w:val="1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8"/>
    <w:next w:val="1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8"/>
    <w:next w:val="1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9"/>
    <w:link w:val="32"/>
    <w:uiPriority w:val="10"/>
    <w:rPr>
      <w:sz w:val="48"/>
      <w:szCs w:val="48"/>
    </w:rPr>
  </w:style>
  <w:style w:type="paragraph" w:styleId="34">
    <w:name w:val="Subtitle"/>
    <w:basedOn w:val="188"/>
    <w:next w:val="1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9"/>
    <w:link w:val="34"/>
    <w:uiPriority w:val="11"/>
    <w:rPr>
      <w:sz w:val="24"/>
      <w:szCs w:val="24"/>
    </w:rPr>
  </w:style>
  <w:style w:type="paragraph" w:styleId="36">
    <w:name w:val="Quote"/>
    <w:basedOn w:val="188"/>
    <w:next w:val="1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8"/>
    <w:next w:val="1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89"/>
    <w:link w:val="198"/>
    <w:uiPriority w:val="99"/>
  </w:style>
  <w:style w:type="character" w:styleId="43">
    <w:name w:val="Footer Char"/>
    <w:basedOn w:val="189"/>
    <w:link w:val="200"/>
    <w:uiPriority w:val="99"/>
  </w:style>
  <w:style w:type="table" w:styleId="45">
    <w:name w:val="Lined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8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9"/>
    <w:uiPriority w:val="99"/>
    <w:unhideWhenUsed/>
    <w:rPr>
      <w:vertAlign w:val="superscript"/>
    </w:rPr>
  </w:style>
  <w:style w:type="paragraph" w:styleId="70">
    <w:name w:val="toc 1"/>
    <w:basedOn w:val="188"/>
    <w:next w:val="18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88"/>
    <w:next w:val="18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88"/>
    <w:next w:val="18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88"/>
    <w:next w:val="18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88"/>
    <w:next w:val="18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88"/>
    <w:next w:val="18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88"/>
    <w:next w:val="18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88"/>
    <w:next w:val="18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88"/>
    <w:next w:val="18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88" w:default="1">
    <w:name w:val="Normal"/>
    <w:qFormat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character" w:styleId="189" w:default="1">
    <w:name w:val="Default Paragraph Font"/>
    <w:uiPriority w:val="1"/>
    <w:semiHidden/>
    <w:unhideWhenUsed/>
  </w:style>
  <w:style w:type="table" w:styleId="1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1" w:default="1">
    <w:name w:val="No List"/>
    <w:uiPriority w:val="99"/>
    <w:semiHidden/>
    <w:unhideWhenUsed/>
  </w:style>
  <w:style w:type="paragraph" w:styleId="192" w:customStyle="1">
    <w:name w:val="ConsPlusNormal"/>
    <w:rPr>
      <w:rFonts w:ascii="Calibri" w:hAnsi="Calibri" w:cs="Calibri" w:eastAsia="Times New Roman"/>
      <w:szCs w:val="20"/>
      <w:lang w:eastAsia="ru-RU"/>
    </w:rPr>
    <w:pPr>
      <w:spacing w:lineRule="auto" w:line="240" w:after="0"/>
      <w:widowControl w:val="off"/>
    </w:pPr>
  </w:style>
  <w:style w:type="paragraph" w:styleId="193" w:customStyle="1">
    <w:name w:val="ConsPlusTitle"/>
    <w:rPr>
      <w:rFonts w:ascii="Calibri" w:hAnsi="Calibri" w:cs="Calibri" w:eastAsia="Times New Roman"/>
      <w:b/>
      <w:szCs w:val="20"/>
      <w:lang w:eastAsia="ru-RU"/>
    </w:rPr>
    <w:pPr>
      <w:spacing w:lineRule="auto" w:line="240" w:after="0"/>
      <w:widowControl w:val="off"/>
    </w:pPr>
  </w:style>
  <w:style w:type="paragraph" w:styleId="194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195">
    <w:name w:val="Balloon Text"/>
    <w:basedOn w:val="188"/>
    <w:link w:val="1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96" w:customStyle="1">
    <w:name w:val="Текст выноски Знак"/>
    <w:basedOn w:val="189"/>
    <w:link w:val="195"/>
    <w:uiPriority w:val="99"/>
    <w:semiHidden/>
    <w:rPr>
      <w:rFonts w:ascii="Segoe UI" w:hAnsi="Segoe UI" w:cs="Segoe UI"/>
      <w:sz w:val="18"/>
      <w:szCs w:val="18"/>
    </w:rPr>
  </w:style>
  <w:style w:type="paragraph" w:styleId="197" w:customStyle="1">
    <w:name w:val="Таблицы (моноширинный)"/>
    <w:basedOn w:val="188"/>
    <w:next w:val="188"/>
    <w:rPr>
      <w:rFonts w:ascii="Courier New" w:hAnsi="Courier New" w:cs="Courier New"/>
      <w:sz w:val="20"/>
      <w:szCs w:val="20"/>
    </w:rPr>
    <w:pPr>
      <w:jc w:val="both"/>
      <w:widowControl w:val="off"/>
    </w:pPr>
  </w:style>
  <w:style w:type="paragraph" w:styleId="198">
    <w:name w:val="Header"/>
    <w:basedOn w:val="188"/>
    <w:link w:val="1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99" w:customStyle="1">
    <w:name w:val="Верхний колонтитул Знак"/>
    <w:basedOn w:val="189"/>
    <w:link w:val="198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200">
    <w:name w:val="Footer"/>
    <w:basedOn w:val="188"/>
    <w:link w:val="20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01" w:customStyle="1">
    <w:name w:val="Нижний колонтитул Знак"/>
    <w:basedOn w:val="189"/>
    <w:link w:val="200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202" w:customStyle="1">
    <w:name w:val="заголовок 1"/>
    <w:basedOn w:val="188"/>
    <w:next w:val="188"/>
    <w:rPr>
      <w:rFonts w:eastAsia="Calibri"/>
      <w:b/>
      <w:szCs w:val="20"/>
    </w:rPr>
    <w:pPr>
      <w:jc w:val="center"/>
      <w:keepNext/>
      <w:spacing w:lineRule="auto" w:line="180"/>
      <w:widowControl w:val="off"/>
    </w:pPr>
  </w:style>
  <w:style w:type="character" w:styleId="203">
    <w:name w:val="Strong"/>
    <w:basedOn w:val="189"/>
    <w:qFormat/>
    <w:uiPriority w:val="22"/>
    <w:rPr>
      <w:b/>
      <w:bCs/>
    </w:rPr>
  </w:style>
  <w:style w:type="character" w:styleId="204" w:customStyle="1">
    <w:name w:val="Основной текст Знак1"/>
    <w:basedOn w:val="189"/>
    <w:link w:val="205"/>
    <w:uiPriority w:val="99"/>
    <w:rPr>
      <w:rFonts w:ascii="Times New Roman" w:hAnsi="Times New Roman" w:cs="Times New Roman"/>
      <w:spacing w:val="2"/>
      <w:shd w:val="clear" w:color="auto" w:fill="FFFFFF"/>
    </w:rPr>
  </w:style>
  <w:style w:type="paragraph" w:styleId="205">
    <w:name w:val="Body Text"/>
    <w:basedOn w:val="188"/>
    <w:link w:val="204"/>
    <w:uiPriority w:val="99"/>
    <w:rPr>
      <w:rFonts w:eastAsia="Calibri"/>
      <w:spacing w:val="2"/>
      <w:sz w:val="22"/>
      <w:szCs w:val="22"/>
      <w:lang w:eastAsia="en-US"/>
    </w:rPr>
    <w:pPr>
      <w:jc w:val="both"/>
      <w:spacing w:lineRule="exact" w:line="307" w:before="240"/>
      <w:shd w:val="clear" w:color="auto" w:fill="FFFFFF"/>
      <w:widowControl w:val="off"/>
    </w:pPr>
  </w:style>
  <w:style w:type="character" w:styleId="206" w:customStyle="1">
    <w:name w:val="Основной текст Знак"/>
    <w:basedOn w:val="189"/>
    <w:uiPriority w:val="99"/>
    <w:semiHidden/>
    <w:rPr>
      <w:rFonts w:ascii="Times New Roman" w:hAnsi="Times New Roman" w:cs="Times New Roman" w:eastAsia="Times New Roman"/>
      <w:sz w:val="28"/>
      <w:szCs w:val="28"/>
      <w:lang w:eastAsia="ru-RU"/>
    </w:rPr>
  </w:style>
  <w:style w:type="table" w:styleId="207">
    <w:name w:val="Table Grid"/>
    <w:basedOn w:val="1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208">
    <w:name w:val="Hyperlink"/>
    <w:basedOn w:val="18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yperlink" Target="consultantplus://offline/ref=D0A4C0E3B29F0A40B51B039E45AF30583AB346B45B974EACBEA525A19F334B8BCC816CF4F0181BEB7D854AFADF4A943F9E7A841C7397A83EsAk8L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ONLYOFFICE/5.3.5.47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Максим Николаевич</dc:creator>
  <cp:revision>6</cp:revision>
  <dcterms:created xsi:type="dcterms:W3CDTF">2019-12-12T05:33:00Z</dcterms:created>
  <dcterms:modified xsi:type="dcterms:W3CDTF">2019-12-18T04:34:59Z</dcterms:modified>
</cp:coreProperties>
</file>